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1915" w:rsidRPr="00995971" w:rsidRDefault="0007531D">
      <w:pPr>
        <w:pBdr>
          <w:top w:val="nil"/>
          <w:left w:val="nil"/>
          <w:bottom w:val="nil"/>
          <w:right w:val="nil"/>
          <w:between w:val="nil"/>
        </w:pBdr>
        <w:spacing w:after="240" w:line="275" w:lineRule="auto"/>
        <w:rPr>
          <w:rFonts w:eastAsia="Google Sans Text"/>
          <w:color w:val="1B1C1D"/>
        </w:rPr>
      </w:pPr>
      <w:r w:rsidRPr="00995971">
        <w:rPr>
          <w:rFonts w:eastAsia="Google Sans Text"/>
          <w:color w:val="1B1C1D"/>
        </w:rPr>
        <w:t>sgRNA library screening is a powerful technique to identify genes or regulatory regions involved in a specific biological process. The amplification of the enriched sgRNAs, with an amplicon size of 150-300 nt and a target region of ~22 bp, is a crucial step in this process. Here's a revised guideline with comments specific to sgRNA library screening.</w:t>
      </w:r>
    </w:p>
    <w:p w14:paraId="00000002" w14:textId="77777777" w:rsidR="005D1915" w:rsidRPr="00995971" w:rsidRDefault="0018421B">
      <w:pPr>
        <w:pBdr>
          <w:top w:val="nil"/>
          <w:left w:val="nil"/>
          <w:bottom w:val="nil"/>
          <w:right w:val="nil"/>
          <w:between w:val="nil"/>
        </w:pBdr>
        <w:spacing w:before="120" w:after="240" w:line="275" w:lineRule="auto"/>
        <w:rPr>
          <w:rFonts w:eastAsia="Google Sans Text"/>
          <w:color w:val="1B1C1D"/>
        </w:rPr>
      </w:pPr>
      <w:r>
        <w:pict w14:anchorId="5DEDEA3D">
          <v:rect id="_x0000_i1025" style="width:0;height:1.5pt" o:hralign="center" o:hrstd="t" o:hr="t" fillcolor="#a0a0a0" stroked="f"/>
        </w:pict>
      </w:r>
    </w:p>
    <w:p w14:paraId="00000003" w14:textId="6A31824C" w:rsidR="005D1915" w:rsidRPr="00995971" w:rsidRDefault="0007531D">
      <w:pPr>
        <w:pStyle w:val="3"/>
        <w:spacing w:before="0" w:after="120" w:line="275" w:lineRule="auto"/>
        <w:rPr>
          <w:rFonts w:eastAsia="Google Sans"/>
          <w:color w:val="1B1C1D"/>
          <w:sz w:val="24"/>
        </w:rPr>
      </w:pPr>
      <w:r w:rsidRPr="00995971">
        <w:rPr>
          <w:rFonts w:eastAsia="Google Sans"/>
          <w:color w:val="1B1C1D"/>
        </w:rPr>
        <w:t>sgRNA Library Screening PCR Amplicon Design</w:t>
      </w:r>
      <w:r w:rsidR="00995971">
        <w:rPr>
          <w:rFonts w:eastAsia="Google Sans"/>
          <w:color w:val="1B1C1D"/>
        </w:rPr>
        <w:t xml:space="preserve"> </w:t>
      </w:r>
      <w:r w:rsidR="00995971" w:rsidRPr="00995971">
        <w:rPr>
          <w:rFonts w:eastAsia="Google Sans"/>
          <w:color w:val="1B1C1D"/>
          <w:sz w:val="24"/>
        </w:rPr>
        <w:t>(for reference only)</w:t>
      </w:r>
    </w:p>
    <w:p w14:paraId="00000004" w14:textId="77777777" w:rsidR="005D1915" w:rsidRPr="00995971" w:rsidRDefault="005D1915" w:rsidP="00995971">
      <w:pPr>
        <w:pBdr>
          <w:top w:val="nil"/>
          <w:left w:val="nil"/>
          <w:bottom w:val="nil"/>
          <w:right w:val="nil"/>
          <w:between w:val="nil"/>
        </w:pBdr>
        <w:spacing w:after="240" w:line="275" w:lineRule="auto"/>
        <w:jc w:val="center"/>
        <w:rPr>
          <w:rFonts w:eastAsia="Google Sans"/>
          <w:color w:val="1B1C1D"/>
        </w:rPr>
      </w:pPr>
    </w:p>
    <w:p w14:paraId="00000005" w14:textId="77777777" w:rsidR="005D1915" w:rsidRPr="00995971" w:rsidRDefault="0007531D">
      <w:pPr>
        <w:pBdr>
          <w:top w:val="nil"/>
          <w:left w:val="nil"/>
          <w:bottom w:val="nil"/>
          <w:right w:val="nil"/>
          <w:between w:val="nil"/>
        </w:pBdr>
        <w:spacing w:line="275" w:lineRule="auto"/>
        <w:rPr>
          <w:rFonts w:eastAsia="Google Sans Text"/>
          <w:b/>
        </w:rPr>
      </w:pPr>
      <w:r w:rsidRPr="00995971">
        <w:rPr>
          <w:rFonts w:eastAsia="Google Sans Text"/>
          <w:b/>
        </w:rPr>
        <w:t>1. Amplicon Target</w:t>
      </w:r>
    </w:p>
    <w:p w14:paraId="00000006" w14:textId="491A2B71" w:rsidR="005D1915" w:rsidRPr="00995971" w:rsidRDefault="0007531D">
      <w:pPr>
        <w:pBdr>
          <w:top w:val="nil"/>
          <w:left w:val="nil"/>
          <w:bottom w:val="nil"/>
          <w:right w:val="nil"/>
          <w:between w:val="nil"/>
        </w:pBdr>
        <w:spacing w:line="275" w:lineRule="auto"/>
        <w:rPr>
          <w:rFonts w:eastAsia="Google Sans Text"/>
        </w:rPr>
      </w:pPr>
      <w:r w:rsidRPr="00995971">
        <w:rPr>
          <w:rFonts w:eastAsia="Google Sans Text"/>
        </w:rPr>
        <w:t>The target for amplification is the sgRNA sequence itself. The goal is to amplify only the integrated sgRNA cassettes from the genomic DNA of cells that have shown a phenotype (e.g., survival, resistance to a drug) during the screen.</w:t>
      </w:r>
    </w:p>
    <w:p w14:paraId="0C016AF7" w14:textId="6D3B02CB" w:rsidR="0007531D" w:rsidRPr="00995971" w:rsidRDefault="0007531D">
      <w:pPr>
        <w:pBdr>
          <w:top w:val="nil"/>
          <w:left w:val="nil"/>
          <w:bottom w:val="nil"/>
          <w:right w:val="nil"/>
          <w:between w:val="nil"/>
        </w:pBdr>
        <w:spacing w:line="275" w:lineRule="auto"/>
        <w:rPr>
          <w:rFonts w:eastAsia="Google Sans Text"/>
          <w:color w:val="C00000"/>
          <w:sz w:val="20"/>
        </w:rPr>
      </w:pPr>
      <w:r w:rsidRPr="00995971">
        <w:rPr>
          <w:rFonts w:eastAsia="Google Sans Text"/>
        </w:rPr>
        <w:t xml:space="preserve">Can try </w:t>
      </w:r>
      <w:r w:rsidRPr="00995971">
        <w:rPr>
          <w:rFonts w:eastAsia="Google Sans Text"/>
          <w:color w:val="C00000"/>
        </w:rPr>
        <w:t xml:space="preserve">Primer3 </w:t>
      </w:r>
      <w:r w:rsidRPr="00995971">
        <w:rPr>
          <w:rFonts w:eastAsia="Google Sans Text"/>
        </w:rPr>
        <w:t xml:space="preserve">software for help: </w:t>
      </w:r>
      <w:r w:rsidRPr="00995971">
        <w:rPr>
          <w:rFonts w:eastAsia="Google Sans Text"/>
          <w:color w:val="C00000"/>
          <w:sz w:val="20"/>
        </w:rPr>
        <w:t>https://primer3.org/</w:t>
      </w:r>
    </w:p>
    <w:p w14:paraId="6C99052C" w14:textId="77777777" w:rsidR="006E4356" w:rsidRPr="00995971" w:rsidRDefault="006E4356">
      <w:pPr>
        <w:pBdr>
          <w:top w:val="nil"/>
          <w:left w:val="nil"/>
          <w:bottom w:val="nil"/>
          <w:right w:val="nil"/>
          <w:between w:val="nil"/>
        </w:pBdr>
        <w:spacing w:line="275" w:lineRule="auto"/>
        <w:rPr>
          <w:rFonts w:eastAsia="Google Sans Text"/>
        </w:rPr>
      </w:pPr>
    </w:p>
    <w:p w14:paraId="00000007" w14:textId="77777777" w:rsidR="005D1915" w:rsidRPr="00995971" w:rsidRDefault="0007531D">
      <w:pPr>
        <w:pBdr>
          <w:top w:val="nil"/>
          <w:left w:val="nil"/>
          <w:bottom w:val="nil"/>
          <w:right w:val="nil"/>
          <w:between w:val="nil"/>
        </w:pBdr>
        <w:spacing w:after="120" w:line="275" w:lineRule="auto"/>
        <w:rPr>
          <w:rFonts w:eastAsia="Google Sans Text"/>
          <w:b/>
          <w:color w:val="1B1C1D"/>
        </w:rPr>
      </w:pPr>
      <w:r w:rsidRPr="00995971">
        <w:rPr>
          <w:rFonts w:eastAsia="Google Sans Text"/>
          <w:b/>
          <w:color w:val="1B1C1D"/>
        </w:rPr>
        <w:t>2. Primer Design Considerations</w:t>
      </w:r>
    </w:p>
    <w:p w14:paraId="00000008" w14:textId="77777777" w:rsidR="005D1915" w:rsidRPr="00995971" w:rsidRDefault="0007531D">
      <w:pPr>
        <w:numPr>
          <w:ilvl w:val="0"/>
          <w:numId w:val="1"/>
        </w:numPr>
        <w:pBdr>
          <w:top w:val="nil"/>
          <w:left w:val="nil"/>
          <w:bottom w:val="nil"/>
          <w:right w:val="nil"/>
          <w:between w:val="nil"/>
        </w:pBdr>
        <w:spacing w:line="275" w:lineRule="auto"/>
      </w:pPr>
      <w:r w:rsidRPr="00995971">
        <w:rPr>
          <w:rFonts w:eastAsia="Google Sans Text"/>
          <w:b/>
          <w:color w:val="1B1C1D"/>
        </w:rPr>
        <w:t>Amplicon Size:</w:t>
      </w:r>
      <w:r w:rsidRPr="00995971">
        <w:rPr>
          <w:rFonts w:eastAsia="Google Sans Text"/>
          <w:color w:val="1B1C1D"/>
        </w:rPr>
        <w:t xml:space="preserve"> The recommended size of </w:t>
      </w:r>
      <w:r w:rsidRPr="00995971">
        <w:rPr>
          <w:rFonts w:eastAsia="Google Sans Text"/>
          <w:b/>
          <w:color w:val="1B1C1D"/>
        </w:rPr>
        <w:t>150-300 nt</w:t>
      </w:r>
      <w:r w:rsidRPr="00995971">
        <w:rPr>
          <w:rFonts w:eastAsia="Google Sans Text"/>
          <w:color w:val="1B1C1D"/>
        </w:rPr>
        <w:t xml:space="preserve"> is ideal for short-read sequencing platforms like Illumina. This length ensures efficient cluster generation and accurate sequencing. A shorter amplicon (</w:t>
      </w:r>
      <w:r w:rsidRPr="00995971">
        <w:rPr>
          <w:rFonts w:eastAsia="Google Sans Text"/>
          <w:b/>
          <w:color w:val="C00000"/>
        </w:rPr>
        <w:t>150-200 bp</w:t>
      </w:r>
      <w:r w:rsidRPr="00995971">
        <w:rPr>
          <w:rFonts w:eastAsia="Google Sans Text"/>
          <w:color w:val="1B1C1D"/>
        </w:rPr>
        <w:t>) can sometimes provide better sequencing quality and is a good target if feasible.</w:t>
      </w:r>
    </w:p>
    <w:p w14:paraId="00000009" w14:textId="77777777" w:rsidR="005D1915" w:rsidRPr="00995971" w:rsidRDefault="0007531D">
      <w:pPr>
        <w:numPr>
          <w:ilvl w:val="0"/>
          <w:numId w:val="1"/>
        </w:numPr>
        <w:pBdr>
          <w:top w:val="nil"/>
          <w:left w:val="nil"/>
          <w:bottom w:val="nil"/>
          <w:right w:val="nil"/>
          <w:between w:val="nil"/>
        </w:pBdr>
        <w:spacing w:line="275" w:lineRule="auto"/>
      </w:pPr>
      <w:r w:rsidRPr="00995971">
        <w:rPr>
          <w:rFonts w:eastAsia="Google Sans Text"/>
          <w:b/>
          <w:color w:val="1B1C1D"/>
        </w:rPr>
        <w:t>Target Region (~22 bp):</w:t>
      </w:r>
      <w:r w:rsidRPr="00995971">
        <w:rPr>
          <w:rFonts w:eastAsia="Google Sans Text"/>
          <w:color w:val="1B1C1D"/>
        </w:rPr>
        <w:t xml:space="preserve"> This short region is the variable part of the sgRNA cassette that guides Cas9 to the genomic target. It's the most critical part to read accurately.</w:t>
      </w:r>
    </w:p>
    <w:p w14:paraId="0000000A" w14:textId="691B7493" w:rsidR="005D1915" w:rsidRPr="00995971" w:rsidRDefault="0007531D">
      <w:pPr>
        <w:numPr>
          <w:ilvl w:val="0"/>
          <w:numId w:val="1"/>
        </w:numPr>
        <w:pBdr>
          <w:top w:val="nil"/>
          <w:left w:val="nil"/>
          <w:bottom w:val="nil"/>
          <w:right w:val="nil"/>
          <w:between w:val="nil"/>
        </w:pBdr>
        <w:spacing w:after="120" w:line="275" w:lineRule="auto"/>
      </w:pPr>
      <w:r w:rsidRPr="00995971">
        <w:rPr>
          <w:rFonts w:eastAsia="Google Sans Text"/>
          <w:b/>
          <w:color w:val="1B1C1D"/>
        </w:rPr>
        <w:t>Location:</w:t>
      </w:r>
      <w:r w:rsidRPr="00995971">
        <w:rPr>
          <w:rFonts w:eastAsia="Google Sans Text"/>
          <w:color w:val="1B1C1D"/>
        </w:rPr>
        <w:t xml:space="preserve"> The </w:t>
      </w:r>
      <w:r w:rsidRPr="00995971">
        <w:rPr>
          <w:rFonts w:eastAsia="Google Sans Text"/>
          <w:b/>
          <w:color w:val="1B1C1D"/>
        </w:rPr>
        <w:t>~22 bp target region should be located near the Read1 priming site</w:t>
      </w:r>
      <w:r w:rsidRPr="00995971">
        <w:rPr>
          <w:rFonts w:eastAsia="Google Sans Text"/>
          <w:color w:val="1B1C1D"/>
        </w:rPr>
        <w:t xml:space="preserve"> (the 5' end of the amplicon). This is a critical design choice for Illumina sequencing. Placing the variable region at the beginning of the read ensures the highest quality scores and reduces sequencing errors, as base quality typically degrades toward the end of a read.</w:t>
      </w:r>
      <w:r w:rsidR="006E4356" w:rsidRPr="00995971">
        <w:rPr>
          <w:rFonts w:eastAsia="Google Sans Text"/>
          <w:color w:val="1B1C1D"/>
        </w:rPr>
        <w:t xml:space="preserve"> For </w:t>
      </w:r>
      <w:r w:rsidR="006E4356" w:rsidRPr="00995971">
        <w:rPr>
          <w:rFonts w:eastAsia="Google Sans Text"/>
          <w:color w:val="C00000"/>
        </w:rPr>
        <w:t>SR100 run</w:t>
      </w:r>
      <w:r w:rsidR="006E4356" w:rsidRPr="00995971">
        <w:rPr>
          <w:rFonts w:eastAsia="Google Sans Text"/>
          <w:color w:val="1B1C1D"/>
        </w:rPr>
        <w:t>, this can fit anywhere  within the Read1 sequence</w:t>
      </w:r>
      <w:r w:rsidR="000779D0" w:rsidRPr="00995971">
        <w:rPr>
          <w:rFonts w:eastAsia="Google Sans Text"/>
          <w:color w:val="1B1C1D"/>
        </w:rPr>
        <w:t xml:space="preserve"> (i.e. First 100 bases)</w:t>
      </w:r>
      <w:r w:rsidR="006E4356" w:rsidRPr="00995971">
        <w:rPr>
          <w:rFonts w:eastAsia="Google Sans Text"/>
          <w:color w:val="1B1C1D"/>
        </w:rPr>
        <w:t>.</w:t>
      </w:r>
    </w:p>
    <w:p w14:paraId="0000000B" w14:textId="77777777" w:rsidR="005D1915" w:rsidRPr="00995971" w:rsidRDefault="0007531D">
      <w:pPr>
        <w:pBdr>
          <w:top w:val="nil"/>
          <w:left w:val="nil"/>
          <w:bottom w:val="nil"/>
          <w:right w:val="nil"/>
          <w:between w:val="nil"/>
        </w:pBdr>
        <w:spacing w:before="240" w:after="120" w:line="275" w:lineRule="auto"/>
        <w:rPr>
          <w:rFonts w:eastAsia="Google Sans Text"/>
          <w:b/>
          <w:color w:val="1B1C1D"/>
        </w:rPr>
      </w:pPr>
      <w:r w:rsidRPr="00995971">
        <w:rPr>
          <w:rFonts w:eastAsia="Google Sans Text"/>
          <w:b/>
          <w:color w:val="1B1C1D"/>
        </w:rPr>
        <w:t>3. Primer Design (Revised Guideline)</w:t>
      </w:r>
    </w:p>
    <w:p w14:paraId="0000000C" w14:textId="77777777" w:rsidR="005D1915" w:rsidRPr="00995971" w:rsidRDefault="0007531D">
      <w:pPr>
        <w:numPr>
          <w:ilvl w:val="0"/>
          <w:numId w:val="2"/>
        </w:numPr>
        <w:pBdr>
          <w:top w:val="nil"/>
          <w:left w:val="nil"/>
          <w:bottom w:val="nil"/>
          <w:right w:val="nil"/>
          <w:between w:val="nil"/>
        </w:pBdr>
        <w:spacing w:line="275" w:lineRule="auto"/>
      </w:pPr>
      <w:r w:rsidRPr="00995971">
        <w:rPr>
          <w:rFonts w:eastAsia="Google Sans Text"/>
          <w:b/>
          <w:color w:val="1B1C1D"/>
        </w:rPr>
        <w:t>Primer 1 (Forward Primer):</w:t>
      </w:r>
      <w:r w:rsidRPr="00995971">
        <w:rPr>
          <w:rFonts w:eastAsia="Google Sans Text"/>
          <w:color w:val="1B1C1D"/>
        </w:rPr>
        <w:t xml:space="preserve"> This primer should bind to the constant region of the sgRNA cassette </w:t>
      </w:r>
      <w:r w:rsidRPr="00995971">
        <w:rPr>
          <w:rFonts w:eastAsia="Google Sans Text"/>
          <w:b/>
          <w:color w:val="1B1C1D"/>
        </w:rPr>
        <w:t>upstream</w:t>
      </w:r>
      <w:r w:rsidRPr="00995971">
        <w:rPr>
          <w:rFonts w:eastAsia="Google Sans Text"/>
          <w:color w:val="1B1C1D"/>
        </w:rPr>
        <w:t xml:space="preserve"> of the variable ~22 bp target.</w:t>
      </w:r>
    </w:p>
    <w:p w14:paraId="0000000D" w14:textId="77777777" w:rsidR="005D1915" w:rsidRPr="00995971" w:rsidRDefault="0007531D">
      <w:pPr>
        <w:numPr>
          <w:ilvl w:val="1"/>
          <w:numId w:val="3"/>
        </w:numPr>
        <w:pBdr>
          <w:top w:val="nil"/>
          <w:left w:val="nil"/>
          <w:bottom w:val="nil"/>
          <w:right w:val="nil"/>
          <w:between w:val="nil"/>
        </w:pBdr>
        <w:spacing w:line="275" w:lineRule="auto"/>
      </w:pPr>
      <w:r w:rsidRPr="00995971">
        <w:rPr>
          <w:rFonts w:eastAsia="Google Sans Text"/>
          <w:b/>
          <w:color w:val="1B1C1D"/>
        </w:rPr>
        <w:t>GC Clamp:</w:t>
      </w:r>
      <w:r w:rsidRPr="00995971">
        <w:rPr>
          <w:rFonts w:eastAsia="Google Sans Text"/>
          <w:color w:val="1B1C1D"/>
        </w:rPr>
        <w:t xml:space="preserve"> A GC clamp at the 3' end improves binding efficiency.</w:t>
      </w:r>
    </w:p>
    <w:p w14:paraId="0000000E" w14:textId="77777777" w:rsidR="005D1915" w:rsidRPr="00995971" w:rsidRDefault="0007531D">
      <w:pPr>
        <w:numPr>
          <w:ilvl w:val="1"/>
          <w:numId w:val="3"/>
        </w:numPr>
        <w:pBdr>
          <w:top w:val="nil"/>
          <w:left w:val="nil"/>
          <w:bottom w:val="nil"/>
          <w:right w:val="nil"/>
          <w:between w:val="nil"/>
        </w:pBdr>
        <w:spacing w:line="275" w:lineRule="auto"/>
      </w:pPr>
      <w:r w:rsidRPr="00995971">
        <w:rPr>
          <w:rFonts w:eastAsia="Google Sans Text"/>
          <w:b/>
          <w:color w:val="1B1C1D"/>
        </w:rPr>
        <w:t>Nextera/Illumina Overhang:</w:t>
      </w:r>
      <w:r w:rsidRPr="00995971">
        <w:rPr>
          <w:rFonts w:eastAsia="Google Sans Text"/>
          <w:color w:val="1B1C1D"/>
        </w:rPr>
        <w:t xml:space="preserve"> This primer should contain the Read1 sequencing adapter (P5/N5) at its 5' end for the second PCR step.</w:t>
      </w:r>
    </w:p>
    <w:p w14:paraId="0000000F" w14:textId="77777777" w:rsidR="005D1915" w:rsidRPr="00995971" w:rsidRDefault="0007531D">
      <w:pPr>
        <w:numPr>
          <w:ilvl w:val="0"/>
          <w:numId w:val="2"/>
        </w:numPr>
        <w:pBdr>
          <w:top w:val="nil"/>
          <w:left w:val="nil"/>
          <w:bottom w:val="nil"/>
          <w:right w:val="nil"/>
          <w:between w:val="nil"/>
        </w:pBdr>
        <w:spacing w:line="275" w:lineRule="auto"/>
      </w:pPr>
      <w:r w:rsidRPr="00995971">
        <w:rPr>
          <w:rFonts w:eastAsia="Google Sans Text"/>
          <w:b/>
          <w:color w:val="1B1C1D"/>
        </w:rPr>
        <w:t>Primer 2 (Reverse Primer):</w:t>
      </w:r>
      <w:r w:rsidRPr="00995971">
        <w:rPr>
          <w:rFonts w:eastAsia="Google Sans Text"/>
          <w:color w:val="1B1C1D"/>
        </w:rPr>
        <w:t xml:space="preserve"> This primer should bind to the constant region of the sgRNA cassette </w:t>
      </w:r>
      <w:r w:rsidRPr="00995971">
        <w:rPr>
          <w:rFonts w:eastAsia="Google Sans Text"/>
          <w:b/>
          <w:color w:val="1B1C1D"/>
        </w:rPr>
        <w:t>downstream</w:t>
      </w:r>
      <w:r w:rsidRPr="00995971">
        <w:rPr>
          <w:rFonts w:eastAsia="Google Sans Text"/>
          <w:color w:val="1B1C1D"/>
        </w:rPr>
        <w:t xml:space="preserve"> of the variable ~22 bp target.</w:t>
      </w:r>
    </w:p>
    <w:p w14:paraId="00000010" w14:textId="55B3DEA8" w:rsidR="005D1915" w:rsidRPr="00995971" w:rsidRDefault="0007531D">
      <w:pPr>
        <w:numPr>
          <w:ilvl w:val="1"/>
          <w:numId w:val="4"/>
        </w:numPr>
        <w:pBdr>
          <w:top w:val="nil"/>
          <w:left w:val="nil"/>
          <w:bottom w:val="nil"/>
          <w:right w:val="nil"/>
          <w:between w:val="nil"/>
        </w:pBdr>
        <w:spacing w:line="275" w:lineRule="auto"/>
      </w:pPr>
      <w:r w:rsidRPr="00995971">
        <w:rPr>
          <w:rFonts w:eastAsia="Google Sans Text"/>
          <w:b/>
          <w:color w:val="1B1C1D"/>
        </w:rPr>
        <w:t>GC Clamp:</w:t>
      </w:r>
      <w:r w:rsidRPr="00995971">
        <w:rPr>
          <w:rFonts w:eastAsia="Google Sans Text"/>
          <w:color w:val="1B1C1D"/>
        </w:rPr>
        <w:t xml:space="preserve"> </w:t>
      </w:r>
      <w:r w:rsidR="006E4356" w:rsidRPr="00995971">
        <w:rPr>
          <w:rFonts w:eastAsia="Google Sans Text"/>
          <w:color w:val="C00000"/>
        </w:rPr>
        <w:t>One</w:t>
      </w:r>
      <w:r w:rsidRPr="00995971">
        <w:rPr>
          <w:rFonts w:eastAsia="Google Sans Text"/>
          <w:color w:val="1B1C1D"/>
        </w:rPr>
        <w:t xml:space="preserve"> GC clamp at the 3' end is also recommended.</w:t>
      </w:r>
      <w:r w:rsidR="006E4356" w:rsidRPr="00995971">
        <w:rPr>
          <w:rFonts w:eastAsia="Google Sans Text"/>
          <w:color w:val="1B1C1D"/>
        </w:rPr>
        <w:t xml:space="preserve"> (avoid GC-stretch)</w:t>
      </w:r>
    </w:p>
    <w:p w14:paraId="00000011" w14:textId="0F842F59" w:rsidR="005D1915" w:rsidRPr="0056668B" w:rsidRDefault="0007531D">
      <w:pPr>
        <w:numPr>
          <w:ilvl w:val="1"/>
          <w:numId w:val="4"/>
        </w:numPr>
        <w:pBdr>
          <w:top w:val="nil"/>
          <w:left w:val="nil"/>
          <w:bottom w:val="nil"/>
          <w:right w:val="nil"/>
          <w:between w:val="nil"/>
        </w:pBdr>
        <w:spacing w:after="120" w:line="275" w:lineRule="auto"/>
        <w:rPr>
          <w:i/>
          <w:color w:val="0070C0"/>
        </w:rPr>
      </w:pPr>
      <w:r w:rsidRPr="0056668B">
        <w:rPr>
          <w:rFonts w:eastAsia="Google Sans Text"/>
          <w:b/>
          <w:color w:val="0070C0"/>
        </w:rPr>
        <w:t>Nextera/Illumina Overhang:</w:t>
      </w:r>
      <w:r w:rsidRPr="00995971">
        <w:rPr>
          <w:rFonts w:eastAsia="Google Sans Text"/>
          <w:color w:val="1B1C1D"/>
        </w:rPr>
        <w:t xml:space="preserve"> This primer should contain the Read2 sequencing adapter (P7/N7) at its 5' end for the second PCR step.</w:t>
      </w:r>
      <w:r w:rsidR="0056668B">
        <w:rPr>
          <w:rFonts w:eastAsia="Google Sans Text"/>
          <w:color w:val="1B1C1D"/>
        </w:rPr>
        <w:t xml:space="preserve"> </w:t>
      </w:r>
      <w:r w:rsidR="0056668B" w:rsidRPr="0056668B">
        <w:rPr>
          <w:rFonts w:eastAsia="Google Sans Text"/>
          <w:i/>
          <w:color w:val="0070C0"/>
        </w:rPr>
        <w:t>(sequence provided at the end of the file)</w:t>
      </w:r>
    </w:p>
    <w:p w14:paraId="00000012" w14:textId="77777777" w:rsidR="005D1915" w:rsidRPr="00995971" w:rsidRDefault="0007531D">
      <w:pPr>
        <w:pBdr>
          <w:top w:val="nil"/>
          <w:left w:val="nil"/>
          <w:bottom w:val="nil"/>
          <w:right w:val="nil"/>
          <w:between w:val="nil"/>
        </w:pBdr>
        <w:spacing w:before="240" w:after="120" w:line="275" w:lineRule="auto"/>
        <w:rPr>
          <w:rFonts w:eastAsia="Google Sans Text"/>
          <w:b/>
          <w:color w:val="1B1C1D"/>
        </w:rPr>
      </w:pPr>
      <w:r w:rsidRPr="00995971">
        <w:rPr>
          <w:rFonts w:eastAsia="Google Sans Text"/>
          <w:b/>
          <w:color w:val="1B1C1D"/>
        </w:rPr>
        <w:t>4. Quality Control</w:t>
      </w:r>
    </w:p>
    <w:p w14:paraId="00000013" w14:textId="77777777" w:rsidR="005D1915" w:rsidRPr="00995971" w:rsidRDefault="0007531D">
      <w:pPr>
        <w:numPr>
          <w:ilvl w:val="0"/>
          <w:numId w:val="5"/>
        </w:numPr>
        <w:pBdr>
          <w:top w:val="nil"/>
          <w:left w:val="nil"/>
          <w:bottom w:val="nil"/>
          <w:right w:val="nil"/>
          <w:between w:val="nil"/>
        </w:pBdr>
        <w:spacing w:line="275" w:lineRule="auto"/>
      </w:pPr>
      <w:r w:rsidRPr="00995971">
        <w:rPr>
          <w:rFonts w:eastAsia="Google Sans Text"/>
          <w:b/>
          <w:color w:val="1B1C1D"/>
        </w:rPr>
        <w:lastRenderedPageBreak/>
        <w:t>Melting Temperature (Tm​) Balance:</w:t>
      </w:r>
      <w:r w:rsidRPr="00995971">
        <w:rPr>
          <w:rFonts w:eastAsia="Google Sans Text"/>
          <w:color w:val="1B1C1D"/>
        </w:rPr>
        <w:t xml:space="preserve"> Both primers should have similar Tm​ values (within 5°C) for consistent and efficient amplification.</w:t>
      </w:r>
    </w:p>
    <w:p w14:paraId="00000014" w14:textId="09344F55" w:rsidR="005D1915" w:rsidRPr="00995971" w:rsidRDefault="0007531D" w:rsidP="000779D0">
      <w:pPr>
        <w:numPr>
          <w:ilvl w:val="0"/>
          <w:numId w:val="5"/>
        </w:numPr>
        <w:pBdr>
          <w:top w:val="nil"/>
          <w:left w:val="nil"/>
          <w:bottom w:val="nil"/>
          <w:right w:val="nil"/>
          <w:between w:val="nil"/>
        </w:pBdr>
        <w:spacing w:line="275" w:lineRule="auto"/>
      </w:pPr>
      <w:r w:rsidRPr="00995971">
        <w:rPr>
          <w:rFonts w:eastAsia="Google Sans Text"/>
          <w:b/>
          <w:color w:val="1B1C1D"/>
        </w:rPr>
        <w:t>Avoid Secondary Structures:</w:t>
      </w:r>
      <w:r w:rsidRPr="00995971">
        <w:rPr>
          <w:rFonts w:eastAsia="Google Sans Text"/>
          <w:color w:val="1B1C1D"/>
        </w:rPr>
        <w:t xml:space="preserve"> Use software like </w:t>
      </w:r>
      <w:r w:rsidRPr="00995971">
        <w:rPr>
          <w:rFonts w:eastAsia="Google Sans Text"/>
          <w:color w:val="C00000"/>
        </w:rPr>
        <w:t>OligoAnalyzer</w:t>
      </w:r>
      <w:r w:rsidRPr="00995971">
        <w:rPr>
          <w:rFonts w:eastAsia="Google Sans Text"/>
          <w:color w:val="1B1C1D"/>
        </w:rPr>
        <w:t xml:space="preserve"> </w:t>
      </w:r>
      <w:r w:rsidR="000779D0" w:rsidRPr="00995971">
        <w:rPr>
          <w:rFonts w:eastAsia="Google Sans Text"/>
          <w:color w:val="1B1C1D"/>
        </w:rPr>
        <w:t xml:space="preserve">(IDT DNA) </w:t>
      </w:r>
      <w:r w:rsidRPr="00995971">
        <w:rPr>
          <w:rFonts w:eastAsia="Google Sans Text"/>
          <w:color w:val="1B1C1D"/>
        </w:rPr>
        <w:t>to check for hairpin loops, self-dimers, and hetero-dimers that could interfere with PCR efficiency.</w:t>
      </w:r>
      <w:r w:rsidR="000779D0" w:rsidRPr="00995971">
        <w:rPr>
          <w:rFonts w:eastAsia="Google Sans Text"/>
          <w:color w:val="1B1C1D"/>
        </w:rPr>
        <w:t xml:space="preserve"> </w:t>
      </w:r>
      <w:r w:rsidR="000779D0" w:rsidRPr="00995971">
        <w:rPr>
          <w:rFonts w:eastAsia="Google Sans Text"/>
          <w:color w:val="C00000"/>
          <w:sz w:val="20"/>
        </w:rPr>
        <w:t>(https://eupages2.idtdna.com/pages/tools/oligoanalyzer)</w:t>
      </w:r>
    </w:p>
    <w:p w14:paraId="00000015" w14:textId="77777777" w:rsidR="005D1915" w:rsidRPr="00995971" w:rsidRDefault="0007531D">
      <w:pPr>
        <w:numPr>
          <w:ilvl w:val="0"/>
          <w:numId w:val="5"/>
        </w:numPr>
        <w:pBdr>
          <w:top w:val="nil"/>
          <w:left w:val="nil"/>
          <w:bottom w:val="nil"/>
          <w:right w:val="nil"/>
          <w:between w:val="nil"/>
        </w:pBdr>
        <w:spacing w:after="120" w:line="275" w:lineRule="auto"/>
      </w:pPr>
      <w:r w:rsidRPr="00995971">
        <w:rPr>
          <w:rFonts w:eastAsia="Google Sans Text"/>
          <w:b/>
          <w:color w:val="1B1C1D"/>
        </w:rPr>
        <w:t>Specificity:</w:t>
      </w:r>
      <w:r w:rsidRPr="00995971">
        <w:rPr>
          <w:rFonts w:eastAsia="Google Sans Text"/>
          <w:color w:val="1B1C1D"/>
        </w:rPr>
        <w:t xml:space="preserve"> Perform an in-silico PCR to ensure the primers amplify only the sgRNA cassette and not other off-target sequences in the genome.</w:t>
      </w:r>
    </w:p>
    <w:p w14:paraId="00000016" w14:textId="77777777" w:rsidR="005D1915" w:rsidRPr="00995971" w:rsidRDefault="0007531D">
      <w:pPr>
        <w:pBdr>
          <w:top w:val="nil"/>
          <w:left w:val="nil"/>
          <w:bottom w:val="nil"/>
          <w:right w:val="nil"/>
          <w:between w:val="nil"/>
        </w:pBdr>
        <w:spacing w:before="240" w:after="240" w:line="275" w:lineRule="auto"/>
        <w:rPr>
          <w:rFonts w:eastAsia="Google Sans Text"/>
          <w:b/>
          <w:color w:val="1B1C1D"/>
        </w:rPr>
      </w:pPr>
      <w:r w:rsidRPr="00995971">
        <w:rPr>
          <w:rFonts w:eastAsia="Google Sans Text"/>
          <w:b/>
          <w:color w:val="1B1C1D"/>
        </w:rPr>
        <w:t>Commentary</w:t>
      </w:r>
    </w:p>
    <w:p w14:paraId="00000017" w14:textId="191AC9E6" w:rsidR="005D1915" w:rsidRDefault="0007531D">
      <w:pPr>
        <w:pBdr>
          <w:top w:val="nil"/>
          <w:left w:val="nil"/>
          <w:bottom w:val="nil"/>
          <w:right w:val="nil"/>
          <w:between w:val="nil"/>
        </w:pBdr>
        <w:spacing w:after="240" w:line="275" w:lineRule="auto"/>
        <w:rPr>
          <w:rFonts w:eastAsia="Google Sans Text"/>
          <w:color w:val="1B1C1D"/>
        </w:rPr>
      </w:pPr>
      <w:r w:rsidRPr="00995971">
        <w:rPr>
          <w:rFonts w:eastAsia="Google Sans Text"/>
          <w:color w:val="1B1C1D"/>
        </w:rPr>
        <w:t>The goal of this design is to generate a sequencing library where the variable sgRNA sequence is the primary read. Since sequencing quality is highest at the beginning of a read, placing the ~22 bp target region close to the Read1 start ensures that the most critical information—the specific sgRNA sequence—is captured with the highest possible accuracy. The two-step PCR process is standard for this type of application, as it allows for the initial specific amplification of the sgRNA from genomic DNA, followed by the addition of the necessary sequencing adapters and unique molecular identifiers (UMIs) in a second, cleaner PCR.</w:t>
      </w:r>
    </w:p>
    <w:p w14:paraId="09B354D1" w14:textId="12C87ED0" w:rsidR="0056668B" w:rsidRPr="0056668B" w:rsidRDefault="0056668B">
      <w:pPr>
        <w:pBdr>
          <w:top w:val="nil"/>
          <w:left w:val="nil"/>
          <w:bottom w:val="nil"/>
          <w:right w:val="nil"/>
          <w:between w:val="nil"/>
        </w:pBdr>
        <w:spacing w:after="240" w:line="275" w:lineRule="auto"/>
        <w:rPr>
          <w:b/>
          <w:color w:val="0070C0"/>
        </w:rPr>
      </w:pPr>
      <w:r w:rsidRPr="0056668B">
        <w:rPr>
          <w:rFonts w:eastAsia="Google Sans Text"/>
          <w:color w:val="0070C0"/>
        </w:rPr>
        <w:t>**</w:t>
      </w:r>
      <w:r w:rsidRPr="0056668B">
        <w:rPr>
          <w:rFonts w:eastAsia="Google Sans Text"/>
          <w:b/>
          <w:color w:val="0070C0"/>
        </w:rPr>
        <w:t xml:space="preserve"> Nextera/Illumina Overhang:</w:t>
      </w:r>
    </w:p>
    <w:p w14:paraId="31080D55" w14:textId="00104E68" w:rsidR="0056668B" w:rsidRPr="0056668B" w:rsidRDefault="0056668B" w:rsidP="003456FF">
      <w:pPr>
        <w:pStyle w:val="a9"/>
        <w:numPr>
          <w:ilvl w:val="0"/>
          <w:numId w:val="6"/>
        </w:numPr>
        <w:pBdr>
          <w:top w:val="nil"/>
          <w:left w:val="nil"/>
          <w:bottom w:val="nil"/>
          <w:right w:val="nil"/>
          <w:between w:val="nil"/>
        </w:pBdr>
        <w:spacing w:after="240" w:line="275" w:lineRule="auto"/>
        <w:ind w:leftChars="0"/>
        <w:rPr>
          <w:rFonts w:eastAsia="Google Sans Text"/>
          <w:b/>
          <w:color w:val="0070C0"/>
        </w:rPr>
      </w:pPr>
      <w:r w:rsidRPr="0056668B">
        <w:rPr>
          <w:rFonts w:eastAsia="Google Sans Text"/>
          <w:b/>
          <w:color w:val="0070C0"/>
        </w:rPr>
        <w:t>Seq</w:t>
      </w:r>
      <w:r w:rsidR="003456FF">
        <w:rPr>
          <w:rFonts w:eastAsia="Google Sans Text"/>
          <w:b/>
          <w:color w:val="0070C0"/>
        </w:rPr>
        <w:br/>
      </w:r>
      <w:r w:rsidR="003456FF" w:rsidRPr="003456FF">
        <w:rPr>
          <w:rFonts w:eastAsia="Google Sans Text"/>
          <w:color w:val="1B1C1D"/>
        </w:rPr>
        <w:t xml:space="preserve">Forward overhang: </w:t>
      </w:r>
      <w:r w:rsidR="003456FF">
        <w:rPr>
          <w:rFonts w:eastAsia="Google Sans Text"/>
          <w:color w:val="1B1C1D"/>
        </w:rPr>
        <w:br/>
      </w:r>
      <w:r w:rsidR="003456FF">
        <w:rPr>
          <w:rFonts w:asciiTheme="minorEastAsia" w:hAnsiTheme="minorEastAsia" w:hint="eastAsia"/>
          <w:color w:val="1B1C1D"/>
        </w:rPr>
        <w:t xml:space="preserve">　　</w:t>
      </w:r>
      <w:r w:rsidR="003456FF" w:rsidRPr="003456FF">
        <w:rPr>
          <w:rFonts w:eastAsia="Google Sans Text"/>
          <w:color w:val="1B1C1D"/>
        </w:rPr>
        <w:t>5’ TCGTCGGCAGCGTCAGATGTGTATAAGAGACAG</w:t>
      </w:r>
      <w:r w:rsidR="003456FF" w:rsidRPr="003456FF">
        <w:rPr>
          <w:rFonts w:eastAsia="Google Sans Text" w:hint="eastAsia"/>
          <w:color w:val="1B1C1D"/>
        </w:rPr>
        <w:t>‐</w:t>
      </w:r>
      <w:r w:rsidR="003456FF" w:rsidRPr="003456FF">
        <w:rPr>
          <w:rFonts w:eastAsia="Google Sans Text"/>
          <w:color w:val="1B1C1D"/>
        </w:rPr>
        <w:t xml:space="preserve">[locusspecific sequence] </w:t>
      </w:r>
      <w:r w:rsidR="003456FF" w:rsidRPr="003456FF">
        <w:rPr>
          <w:rFonts w:eastAsia="Google Sans Text"/>
          <w:color w:val="1B1C1D"/>
        </w:rPr>
        <w:br/>
        <w:t xml:space="preserve">Reverse overhang: </w:t>
      </w:r>
      <w:r w:rsidR="003456FF">
        <w:rPr>
          <w:rFonts w:eastAsia="Google Sans Text"/>
          <w:color w:val="1B1C1D"/>
        </w:rPr>
        <w:br/>
      </w:r>
      <w:r w:rsidR="003456FF">
        <w:rPr>
          <w:rFonts w:asciiTheme="minorEastAsia" w:hAnsiTheme="minorEastAsia" w:hint="eastAsia"/>
          <w:color w:val="1B1C1D"/>
        </w:rPr>
        <w:t xml:space="preserve">　　</w:t>
      </w:r>
      <w:bookmarkStart w:id="0" w:name="_GoBack"/>
      <w:bookmarkEnd w:id="0"/>
      <w:r w:rsidR="003456FF" w:rsidRPr="003456FF">
        <w:rPr>
          <w:rFonts w:eastAsia="Google Sans Text"/>
          <w:color w:val="1B1C1D"/>
        </w:rPr>
        <w:t>5’ GTCTCGTGGGCTCGGAGATGTGTATAAGAGACAG</w:t>
      </w:r>
      <w:r w:rsidR="003456FF" w:rsidRPr="003456FF">
        <w:rPr>
          <w:rFonts w:eastAsia="Google Sans Text" w:hint="eastAsia"/>
          <w:color w:val="1B1C1D"/>
        </w:rPr>
        <w:t>‐</w:t>
      </w:r>
      <w:r w:rsidR="003456FF" w:rsidRPr="003456FF">
        <w:rPr>
          <w:rFonts w:eastAsia="Google Sans Text"/>
          <w:color w:val="1B1C1D"/>
        </w:rPr>
        <w:t>[locusspecific sequence]</w:t>
      </w:r>
    </w:p>
    <w:p w14:paraId="66608D3A" w14:textId="77777777" w:rsidR="003456FF" w:rsidRPr="003456FF" w:rsidRDefault="0056668B" w:rsidP="003456FF">
      <w:pPr>
        <w:pStyle w:val="a9"/>
        <w:numPr>
          <w:ilvl w:val="0"/>
          <w:numId w:val="6"/>
        </w:numPr>
        <w:pBdr>
          <w:top w:val="nil"/>
          <w:left w:val="nil"/>
          <w:bottom w:val="nil"/>
          <w:right w:val="nil"/>
          <w:between w:val="nil"/>
        </w:pBdr>
        <w:spacing w:after="240" w:line="275" w:lineRule="auto"/>
        <w:ind w:leftChars="0"/>
        <w:rPr>
          <w:color w:val="0070C0"/>
        </w:rPr>
      </w:pPr>
      <w:r w:rsidRPr="003456FF">
        <w:rPr>
          <w:rFonts w:eastAsia="Google Sans Text"/>
          <w:b/>
          <w:color w:val="0070C0"/>
        </w:rPr>
        <w:t>PCR workflow</w:t>
      </w:r>
    </w:p>
    <w:p w14:paraId="5A183B55" w14:textId="2116D9A4" w:rsidR="003456FF" w:rsidRPr="003456FF" w:rsidRDefault="003456FF" w:rsidP="003456FF">
      <w:pPr>
        <w:pBdr>
          <w:top w:val="nil"/>
          <w:left w:val="nil"/>
          <w:bottom w:val="nil"/>
          <w:right w:val="nil"/>
          <w:between w:val="nil"/>
        </w:pBdr>
        <w:spacing w:after="240" w:line="275" w:lineRule="auto"/>
        <w:jc w:val="center"/>
        <w:rPr>
          <w:color w:val="0070C0"/>
        </w:rPr>
      </w:pPr>
      <w:r w:rsidRPr="003456FF">
        <w:drawing>
          <wp:inline distT="0" distB="0" distL="0" distR="0" wp14:anchorId="73C5B51D" wp14:editId="67B178AE">
            <wp:extent cx="3406140" cy="3059340"/>
            <wp:effectExtent l="0" t="0" r="381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2996" cy="3065498"/>
                    </a:xfrm>
                    <a:prstGeom prst="rect">
                      <a:avLst/>
                    </a:prstGeom>
                  </pic:spPr>
                </pic:pic>
              </a:graphicData>
            </a:graphic>
          </wp:inline>
        </w:drawing>
      </w:r>
    </w:p>
    <w:sectPr w:rsidR="003456FF" w:rsidRPr="003456FF">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8681" w14:textId="77777777" w:rsidR="0018421B" w:rsidRDefault="0018421B" w:rsidP="00995971">
      <w:r>
        <w:separator/>
      </w:r>
    </w:p>
  </w:endnote>
  <w:endnote w:type="continuationSeparator" w:id="0">
    <w:p w14:paraId="62478549" w14:textId="77777777" w:rsidR="0018421B" w:rsidRDefault="0018421B" w:rsidP="0099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font>
  <w:font w:name="Google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D8D2" w14:textId="77777777" w:rsidR="0018421B" w:rsidRDefault="0018421B" w:rsidP="00995971">
      <w:r>
        <w:separator/>
      </w:r>
    </w:p>
  </w:footnote>
  <w:footnote w:type="continuationSeparator" w:id="0">
    <w:p w14:paraId="554346E1" w14:textId="77777777" w:rsidR="0018421B" w:rsidRDefault="0018421B" w:rsidP="0099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56F"/>
    <w:multiLevelType w:val="multilevel"/>
    <w:tmpl w:val="AA4494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A7D182F"/>
    <w:multiLevelType w:val="hybridMultilevel"/>
    <w:tmpl w:val="535C882A"/>
    <w:lvl w:ilvl="0" w:tplc="84BCC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846D6D"/>
    <w:multiLevelType w:val="multilevel"/>
    <w:tmpl w:val="876A58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697B57E1"/>
    <w:multiLevelType w:val="multilevel"/>
    <w:tmpl w:val="4ACE3F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A0B64F1"/>
    <w:multiLevelType w:val="multilevel"/>
    <w:tmpl w:val="81064B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7042715B"/>
    <w:multiLevelType w:val="multilevel"/>
    <w:tmpl w:val="E5D6DC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15"/>
    <w:rsid w:val="0007531D"/>
    <w:rsid w:val="000779D0"/>
    <w:rsid w:val="000A717F"/>
    <w:rsid w:val="0018421B"/>
    <w:rsid w:val="003456FF"/>
    <w:rsid w:val="004D4C09"/>
    <w:rsid w:val="0056668B"/>
    <w:rsid w:val="005D1915"/>
    <w:rsid w:val="006E4356"/>
    <w:rsid w:val="00812145"/>
    <w:rsid w:val="00995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B122"/>
  <w15:docId w15:val="{00293C6A-D3E4-4E6A-8747-DFDE8C35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pBdr>
        <w:top w:val="nil"/>
        <w:left w:val="nil"/>
        <w:bottom w:val="nil"/>
        <w:right w:val="nil"/>
        <w:between w:val="nil"/>
      </w:pBdr>
      <w:spacing w:before="240" w:after="240"/>
      <w:outlineLvl w:val="0"/>
    </w:pPr>
    <w:rPr>
      <w:b/>
      <w:sz w:val="48"/>
      <w:szCs w:val="48"/>
    </w:rPr>
  </w:style>
  <w:style w:type="paragraph" w:styleId="2">
    <w:name w:val="heading 2"/>
    <w:basedOn w:val="a"/>
    <w:next w:val="a"/>
    <w:pPr>
      <w:pBdr>
        <w:top w:val="nil"/>
        <w:left w:val="nil"/>
        <w:bottom w:val="nil"/>
        <w:right w:val="nil"/>
        <w:between w:val="nil"/>
      </w:pBdr>
      <w:spacing w:before="225" w:after="225"/>
      <w:outlineLvl w:val="1"/>
    </w:pPr>
    <w:rPr>
      <w:b/>
      <w:sz w:val="36"/>
      <w:szCs w:val="36"/>
    </w:rPr>
  </w:style>
  <w:style w:type="paragraph" w:styleId="3">
    <w:name w:val="heading 3"/>
    <w:basedOn w:val="a"/>
    <w:next w:val="a"/>
    <w:pPr>
      <w:pBdr>
        <w:top w:val="nil"/>
        <w:left w:val="nil"/>
        <w:bottom w:val="nil"/>
        <w:right w:val="nil"/>
        <w:between w:val="nil"/>
      </w:pBdr>
      <w:spacing w:before="240" w:after="240"/>
      <w:outlineLvl w:val="2"/>
    </w:pPr>
    <w:rPr>
      <w:b/>
      <w:sz w:val="28"/>
      <w:szCs w:val="28"/>
    </w:rPr>
  </w:style>
  <w:style w:type="paragraph" w:styleId="4">
    <w:name w:val="heading 4"/>
    <w:basedOn w:val="a"/>
    <w:next w:val="a"/>
    <w:pPr>
      <w:pBdr>
        <w:top w:val="nil"/>
        <w:left w:val="nil"/>
        <w:bottom w:val="nil"/>
        <w:right w:val="nil"/>
        <w:between w:val="nil"/>
      </w:pBdr>
      <w:spacing w:before="255" w:after="255"/>
      <w:outlineLvl w:val="3"/>
    </w:pPr>
    <w:rPr>
      <w:b/>
      <w:sz w:val="24"/>
      <w:szCs w:val="24"/>
    </w:rPr>
  </w:style>
  <w:style w:type="paragraph" w:styleId="5">
    <w:name w:val="heading 5"/>
    <w:basedOn w:val="a"/>
    <w:next w:val="a"/>
    <w:pPr>
      <w:pBdr>
        <w:top w:val="nil"/>
        <w:left w:val="nil"/>
        <w:bottom w:val="nil"/>
        <w:right w:val="nil"/>
        <w:between w:val="nil"/>
      </w:pBdr>
      <w:spacing w:before="255" w:after="255"/>
      <w:outlineLvl w:val="4"/>
    </w:pPr>
    <w:rPr>
      <w:b/>
      <w:sz w:val="18"/>
      <w:szCs w:val="18"/>
    </w:rPr>
  </w:style>
  <w:style w:type="paragraph" w:styleId="6">
    <w:name w:val="heading 6"/>
    <w:basedOn w:val="a"/>
    <w:next w:val="a"/>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995971"/>
    <w:pPr>
      <w:tabs>
        <w:tab w:val="center" w:pos="4153"/>
        <w:tab w:val="right" w:pos="8306"/>
      </w:tabs>
      <w:snapToGrid w:val="0"/>
    </w:pPr>
    <w:rPr>
      <w:sz w:val="20"/>
      <w:szCs w:val="20"/>
    </w:rPr>
  </w:style>
  <w:style w:type="character" w:customStyle="1" w:styleId="a6">
    <w:name w:val="頁首 字元"/>
    <w:basedOn w:val="a0"/>
    <w:link w:val="a5"/>
    <w:uiPriority w:val="99"/>
    <w:rsid w:val="00995971"/>
    <w:rPr>
      <w:sz w:val="20"/>
      <w:szCs w:val="20"/>
    </w:rPr>
  </w:style>
  <w:style w:type="paragraph" w:styleId="a7">
    <w:name w:val="footer"/>
    <w:basedOn w:val="a"/>
    <w:link w:val="a8"/>
    <w:uiPriority w:val="99"/>
    <w:unhideWhenUsed/>
    <w:rsid w:val="00995971"/>
    <w:pPr>
      <w:tabs>
        <w:tab w:val="center" w:pos="4153"/>
        <w:tab w:val="right" w:pos="8306"/>
      </w:tabs>
      <w:snapToGrid w:val="0"/>
    </w:pPr>
    <w:rPr>
      <w:sz w:val="20"/>
      <w:szCs w:val="20"/>
    </w:rPr>
  </w:style>
  <w:style w:type="character" w:customStyle="1" w:styleId="a8">
    <w:name w:val="頁尾 字元"/>
    <w:basedOn w:val="a0"/>
    <w:link w:val="a7"/>
    <w:uiPriority w:val="99"/>
    <w:rsid w:val="00995971"/>
    <w:rPr>
      <w:sz w:val="20"/>
      <w:szCs w:val="20"/>
    </w:rPr>
  </w:style>
  <w:style w:type="paragraph" w:styleId="a9">
    <w:name w:val="List Paragraph"/>
    <w:basedOn w:val="a"/>
    <w:uiPriority w:val="34"/>
    <w:qFormat/>
    <w:rsid w:val="005666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i7-1</dc:creator>
  <cp:lastModifiedBy>Ryzen_1</cp:lastModifiedBy>
  <cp:revision>4</cp:revision>
  <dcterms:created xsi:type="dcterms:W3CDTF">2025-09-03T10:20:00Z</dcterms:created>
  <dcterms:modified xsi:type="dcterms:W3CDTF">2025-09-03T10:54:00Z</dcterms:modified>
</cp:coreProperties>
</file>