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54D98" w:rsidRDefault="00C47CA8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color w:val="1B1C1D"/>
        </w:rPr>
      </w:pPr>
      <w:r>
        <w:rPr>
          <w:rFonts w:ascii="Google Sans Text" w:eastAsia="Google Sans Text" w:hAnsi="Google Sans Text" w:cs="Google Sans Text"/>
          <w:color w:val="1B1C1D"/>
        </w:rPr>
        <w:t>The provided two-step PCR primer design guideline is a good start, but it can be enhanced with more precise and comprehensive details. Here is a revised and commented version.</w:t>
      </w:r>
    </w:p>
    <w:p w14:paraId="00000002" w14:textId="77777777" w:rsidR="00D54D98" w:rsidRDefault="00C47CA8">
      <w:pPr>
        <w:pBdr>
          <w:top w:val="nil"/>
          <w:left w:val="nil"/>
          <w:bottom w:val="nil"/>
          <w:right w:val="nil"/>
          <w:between w:val="nil"/>
        </w:pBdr>
        <w:spacing w:before="120" w:after="240" w:line="275" w:lineRule="auto"/>
        <w:rPr>
          <w:rFonts w:ascii="Google Sans Text" w:eastAsia="Google Sans Text" w:hAnsi="Google Sans Text" w:cs="Google Sans Text"/>
          <w:color w:val="1B1C1D"/>
        </w:rPr>
      </w:pPr>
      <w:r>
        <w:pict w14:anchorId="0772CF0C">
          <v:rect id="_x0000_i1025" style="width:0;height:1.5pt" o:hralign="center" o:hrstd="t" o:hr="t" fillcolor="#a0a0a0" stroked="f"/>
        </w:pict>
      </w:r>
    </w:p>
    <w:p w14:paraId="00000003" w14:textId="1D9B5EF0" w:rsidR="00D54D98" w:rsidRPr="00C47CA8" w:rsidRDefault="00C47CA8">
      <w:pPr>
        <w:pStyle w:val="3"/>
        <w:spacing w:before="0" w:after="120" w:line="275" w:lineRule="auto"/>
        <w:rPr>
          <w:rFonts w:ascii="Google Sans" w:eastAsia="Google Sans" w:hAnsi="Google Sans" w:cs="Google Sans"/>
          <w:color w:val="1B1C1D"/>
          <w:sz w:val="24"/>
        </w:rPr>
      </w:pPr>
      <w:r>
        <w:rPr>
          <w:rFonts w:ascii="Google Sans" w:eastAsia="Google Sans" w:hAnsi="Google Sans" w:cs="Google Sans"/>
          <w:color w:val="1B1C1D"/>
        </w:rPr>
        <w:t xml:space="preserve">2-Step </w:t>
      </w:r>
      <w:r w:rsidR="00633EF6">
        <w:rPr>
          <w:rFonts w:ascii="Google Sans" w:eastAsia="Google Sans" w:hAnsi="Google Sans" w:cs="Google Sans"/>
          <w:color w:val="1B1C1D"/>
        </w:rPr>
        <w:t xml:space="preserve">Indexing </w:t>
      </w:r>
      <w:r>
        <w:rPr>
          <w:rFonts w:ascii="Google Sans" w:eastAsia="Google Sans" w:hAnsi="Google Sans" w:cs="Google Sans"/>
          <w:color w:val="1B1C1D"/>
        </w:rPr>
        <w:t>PCR Primer Design Guidel</w:t>
      </w:r>
      <w:bookmarkStart w:id="0" w:name="_GoBack"/>
      <w:bookmarkEnd w:id="0"/>
      <w:r>
        <w:rPr>
          <w:rFonts w:ascii="Google Sans" w:eastAsia="Google Sans" w:hAnsi="Google Sans" w:cs="Google Sans"/>
          <w:color w:val="1B1C1D"/>
        </w:rPr>
        <w:t>ine</w:t>
      </w:r>
      <w:r w:rsidRPr="00C47CA8">
        <w:rPr>
          <w:rFonts w:ascii="Google Sans" w:eastAsia="Google Sans" w:hAnsi="Google Sans" w:cs="Google Sans"/>
          <w:color w:val="1B1C1D"/>
          <w:sz w:val="24"/>
        </w:rPr>
        <w:t xml:space="preserve"> </w:t>
      </w:r>
      <w:r w:rsidR="00633EF6" w:rsidRPr="00C47CA8">
        <w:rPr>
          <w:rFonts w:ascii="Google Sans" w:eastAsia="Google Sans" w:hAnsi="Google Sans" w:cs="Google Sans"/>
          <w:color w:val="1B1C1D"/>
          <w:sz w:val="24"/>
        </w:rPr>
        <w:t>(use for reference)</w:t>
      </w:r>
    </w:p>
    <w:p w14:paraId="00000004" w14:textId="77777777" w:rsidR="00D54D98" w:rsidRPr="00633EF6" w:rsidRDefault="00D54D98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" w:eastAsia="Google Sans" w:hAnsi="Google Sans" w:cs="Google Sans"/>
          <w:color w:val="1B1C1D"/>
        </w:rPr>
      </w:pPr>
    </w:p>
    <w:p w14:paraId="00000005" w14:textId="77777777" w:rsidR="00D54D98" w:rsidRDefault="00C47CA8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rFonts w:ascii="Google Sans Text" w:eastAsia="Google Sans Text" w:hAnsi="Google Sans Text" w:cs="Google Sans Text"/>
          <w:b/>
          <w:color w:val="1B1C1D"/>
        </w:rPr>
      </w:pPr>
      <w:r>
        <w:rPr>
          <w:rFonts w:ascii="Google Sans Text" w:eastAsia="Google Sans Text" w:hAnsi="Google Sans Text" w:cs="Google Sans Text"/>
          <w:b/>
          <w:color w:val="1B1C1D"/>
        </w:rPr>
        <w:t>1. Amplicon Target and Primer Location</w:t>
      </w:r>
    </w:p>
    <w:p w14:paraId="00000006" w14:textId="77777777" w:rsidR="00D54D98" w:rsidRDefault="00C47C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Define area of interest:</w:t>
      </w:r>
      <w:r>
        <w:rPr>
          <w:rFonts w:ascii="Google Sans Text" w:eastAsia="Google Sans Text" w:hAnsi="Google Sans Text" w:cs="Google Sans Text"/>
          <w:color w:val="1B1C1D"/>
        </w:rPr>
        <w:t xml:space="preserve"> Clearly specify the target gene or region. This is the first and most critical step.</w:t>
      </w:r>
    </w:p>
    <w:p w14:paraId="00000007" w14:textId="77777777" w:rsidR="00D54D98" w:rsidRDefault="00C47C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Find suitable regions flanking the target:</w:t>
      </w:r>
      <w:r>
        <w:rPr>
          <w:rFonts w:ascii="Google Sans Text" w:eastAsia="Google Sans Text" w:hAnsi="Google Sans Text" w:cs="Google Sans Text"/>
          <w:color w:val="1B1C1D"/>
        </w:rPr>
        <w:t xml:space="preserve"> Identify sequences upstream and downstream of the target. These should be unique and non-repetitive to ensure specific amplification.</w:t>
      </w:r>
    </w:p>
    <w:p w14:paraId="00000008" w14:textId="185FDC0A" w:rsidR="00D54D98" w:rsidRDefault="00C47C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Identify putative priming sites:</w:t>
      </w:r>
      <w:r>
        <w:rPr>
          <w:rFonts w:ascii="Google Sans Text" w:eastAsia="Google Sans Text" w:hAnsi="Google Sans Text" w:cs="Google Sans Text"/>
          <w:color w:val="1B1C1D"/>
        </w:rPr>
        <w:t xml:space="preserve"> Use bioinformatics tools to scan the flanking regions for potential primer binding sites</w:t>
      </w:r>
      <w:r>
        <w:rPr>
          <w:rFonts w:ascii="Google Sans Text" w:eastAsia="Google Sans Text" w:hAnsi="Google Sans Text" w:cs="Google Sans Text"/>
          <w:color w:val="1B1C1D"/>
        </w:rPr>
        <w:t xml:space="preserve"> that meet the specified criteria.</w:t>
      </w:r>
      <w:r w:rsidR="009B4F43">
        <w:rPr>
          <w:rFonts w:asciiTheme="minorEastAsia" w:hAnsiTheme="minorEastAsia" w:cs="Google Sans Text" w:hint="eastAsia"/>
          <w:color w:val="1B1C1D"/>
        </w:rPr>
        <w:t xml:space="preserve"> (</w:t>
      </w:r>
      <w:r w:rsidR="009B4F43">
        <w:rPr>
          <w:rFonts w:ascii="Google Sans Text" w:hAnsi="Google Sans Text" w:cs="Google Sans Text" w:hint="eastAsia"/>
          <w:color w:val="1B1C1D"/>
        </w:rPr>
        <w:t>e</w:t>
      </w:r>
      <w:r w:rsidR="009B4F43">
        <w:rPr>
          <w:rFonts w:ascii="Google Sans Text" w:hAnsi="Google Sans Text" w:cs="Google Sans Text"/>
          <w:color w:val="1B1C1D"/>
        </w:rPr>
        <w:t>.g. Primer3)</w:t>
      </w:r>
    </w:p>
    <w:p w14:paraId="00000009" w14:textId="77777777" w:rsidR="00D54D98" w:rsidRDefault="00C47CA8">
      <w:pPr>
        <w:pBdr>
          <w:top w:val="nil"/>
          <w:left w:val="nil"/>
          <w:bottom w:val="nil"/>
          <w:right w:val="nil"/>
          <w:between w:val="nil"/>
        </w:pBdr>
        <w:spacing w:before="240" w:after="120" w:line="275" w:lineRule="auto"/>
        <w:rPr>
          <w:rFonts w:ascii="Google Sans Text" w:eastAsia="Google Sans Text" w:hAnsi="Google Sans Text" w:cs="Google Sans Text"/>
          <w:b/>
          <w:color w:val="1B1C1D"/>
        </w:rPr>
      </w:pPr>
      <w:r>
        <w:rPr>
          <w:rFonts w:ascii="Google Sans Text" w:eastAsia="Google Sans Text" w:hAnsi="Google Sans Text" w:cs="Google Sans Text"/>
          <w:b/>
          <w:color w:val="1B1C1D"/>
        </w:rPr>
        <w:t>2. Primer Sequence and Physicochemical Properties</w:t>
      </w:r>
    </w:p>
    <w:p w14:paraId="0000000A" w14:textId="77777777" w:rsidR="00D54D98" w:rsidRDefault="00C47C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Length:</w:t>
      </w:r>
      <w:r>
        <w:rPr>
          <w:rFonts w:ascii="Google Sans Text" w:eastAsia="Google Sans Text" w:hAnsi="Google Sans Text" w:cs="Google Sans Text"/>
          <w:color w:val="1B1C1D"/>
        </w:rPr>
        <w:t xml:space="preserve"> A length of </w:t>
      </w:r>
      <w:r>
        <w:rPr>
          <w:rFonts w:ascii="Google Sans Text" w:eastAsia="Google Sans Text" w:hAnsi="Google Sans Text" w:cs="Google Sans Text"/>
          <w:b/>
          <w:color w:val="1B1C1D"/>
        </w:rPr>
        <w:t>18–24 nucleotides (</w:t>
      </w:r>
      <w:proofErr w:type="spellStart"/>
      <w:r>
        <w:rPr>
          <w:rFonts w:ascii="Google Sans Text" w:eastAsia="Google Sans Text" w:hAnsi="Google Sans Text" w:cs="Google Sans Text"/>
          <w:b/>
          <w:color w:val="1B1C1D"/>
        </w:rPr>
        <w:t>nt</w:t>
      </w:r>
      <w:proofErr w:type="spellEnd"/>
      <w:r>
        <w:rPr>
          <w:rFonts w:ascii="Google Sans Text" w:eastAsia="Google Sans Text" w:hAnsi="Google Sans Text" w:cs="Google Sans Text"/>
          <w:b/>
          <w:color w:val="1B1C1D"/>
        </w:rPr>
        <w:t>)</w:t>
      </w:r>
      <w:r>
        <w:rPr>
          <w:rFonts w:ascii="Google Sans Text" w:eastAsia="Google Sans Text" w:hAnsi="Google Sans Text" w:cs="Google Sans Text"/>
          <w:color w:val="1B1C1D"/>
        </w:rPr>
        <w:t xml:space="preserve"> is ideal for most applications, balancing specificity and binding efficiency.</w:t>
      </w:r>
    </w:p>
    <w:p w14:paraId="0000000B" w14:textId="77777777" w:rsidR="00D54D98" w:rsidRDefault="00C47C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GC Content (GC%):</w:t>
      </w:r>
      <w:r>
        <w:rPr>
          <w:rFonts w:ascii="Google Sans Text" w:eastAsia="Google Sans Text" w:hAnsi="Google Sans Text" w:cs="Google Sans Text"/>
          <w:color w:val="1B1C1D"/>
        </w:rPr>
        <w:t xml:space="preserve"> Aim for a GC% of </w:t>
      </w:r>
      <w:r>
        <w:rPr>
          <w:rFonts w:ascii="Google Sans Text" w:eastAsia="Google Sans Text" w:hAnsi="Google Sans Text" w:cs="Google Sans Text"/>
          <w:b/>
          <w:color w:val="1B1C1D"/>
        </w:rPr>
        <w:t>40–60%</w:t>
      </w:r>
      <w:r>
        <w:rPr>
          <w:rFonts w:ascii="Google Sans Text" w:eastAsia="Google Sans Text" w:hAnsi="Google Sans Text" w:cs="Google Sans Text"/>
          <w:color w:val="1B1C1D"/>
        </w:rPr>
        <w:t>. This range ensures a stable binding and optimal melting temperature (Tm​).</w:t>
      </w:r>
    </w:p>
    <w:p w14:paraId="0000000C" w14:textId="77777777" w:rsidR="00D54D98" w:rsidRDefault="00C47C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Melting Temperature (Tm​):</w:t>
      </w:r>
      <w:r>
        <w:rPr>
          <w:rFonts w:ascii="Google Sans Text" w:eastAsia="Google Sans Text" w:hAnsi="Google Sans Text" w:cs="Google Sans Text"/>
          <w:color w:val="1B1C1D"/>
        </w:rPr>
        <w:t xml:space="preserve"> A Tm​ of </w:t>
      </w:r>
      <w:r>
        <w:rPr>
          <w:rFonts w:ascii="Google Sans Text" w:eastAsia="Google Sans Text" w:hAnsi="Google Sans Text" w:cs="Google Sans Text"/>
          <w:b/>
          <w:color w:val="1B1C1D"/>
        </w:rPr>
        <w:t>55–65°C</w:t>
      </w:r>
      <w:r>
        <w:rPr>
          <w:rFonts w:ascii="Google Sans Text" w:eastAsia="Google Sans Text" w:hAnsi="Google Sans Text" w:cs="Google Sans Text"/>
          <w:color w:val="1B1C1D"/>
        </w:rPr>
        <w:t xml:space="preserve"> is preferred for most PCRs. A higher Tm​ reduces the chance of non-specific binding, while keeping it under 70°C helps avoid issues wit</w:t>
      </w:r>
      <w:r>
        <w:rPr>
          <w:rFonts w:ascii="Google Sans Text" w:eastAsia="Google Sans Text" w:hAnsi="Google Sans Text" w:cs="Google Sans Text"/>
          <w:color w:val="1B1C1D"/>
        </w:rPr>
        <w:t xml:space="preserve">h secondary structures. For two-step PCR, it's crucial that the </w:t>
      </w:r>
      <w:r>
        <w:rPr>
          <w:rFonts w:ascii="Google Sans Text" w:eastAsia="Google Sans Text" w:hAnsi="Google Sans Text" w:cs="Google Sans Text"/>
          <w:b/>
          <w:color w:val="1B1C1D"/>
        </w:rPr>
        <w:t>forward and reverse primers have a Tm​ within 3–5°C of each other</w:t>
      </w:r>
      <w:r>
        <w:rPr>
          <w:rFonts w:ascii="Google Sans Text" w:eastAsia="Google Sans Text" w:hAnsi="Google Sans Text" w:cs="Google Sans Text"/>
          <w:color w:val="1B1C1D"/>
        </w:rPr>
        <w:t xml:space="preserve"> to ensure they bind efficiently at the same annealing temperature.</w:t>
      </w:r>
    </w:p>
    <w:p w14:paraId="0000000D" w14:textId="77777777" w:rsidR="00D54D98" w:rsidRDefault="00C47C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Avoid Secondary Structures:</w:t>
      </w:r>
    </w:p>
    <w:p w14:paraId="0000000E" w14:textId="77777777" w:rsidR="00D54D98" w:rsidRDefault="00C47C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Low-complexity sequences:</w:t>
      </w:r>
      <w:r>
        <w:rPr>
          <w:rFonts w:ascii="Google Sans Text" w:eastAsia="Google Sans Text" w:hAnsi="Google Sans Text" w:cs="Google Sans Text"/>
          <w:color w:val="1B1C1D"/>
        </w:rPr>
        <w:t xml:space="preserve"> Avoid</w:t>
      </w:r>
      <w:r>
        <w:rPr>
          <w:rFonts w:ascii="Google Sans Text" w:eastAsia="Google Sans Text" w:hAnsi="Google Sans Text" w:cs="Google Sans Text"/>
          <w:color w:val="1B1C1D"/>
        </w:rPr>
        <w:t xml:space="preserve"> stretches of a single nucleotide like </w:t>
      </w:r>
      <w:r>
        <w:rPr>
          <w:rFonts w:ascii="Google Sans Text" w:eastAsia="Google Sans Text" w:hAnsi="Google Sans Text" w:cs="Google Sans Text"/>
          <w:b/>
          <w:color w:val="1B1C1D"/>
        </w:rPr>
        <w:t>poly-A/T/G/C runs of more than 3 bases</w:t>
      </w:r>
      <w:r>
        <w:rPr>
          <w:rFonts w:ascii="Google Sans Text" w:eastAsia="Google Sans Text" w:hAnsi="Google Sans Text" w:cs="Google Sans Text"/>
          <w:color w:val="1B1C1D"/>
        </w:rPr>
        <w:t xml:space="preserve"> (e.g., AAAA). These can cause </w:t>
      </w:r>
      <w:proofErr w:type="spellStart"/>
      <w:r>
        <w:rPr>
          <w:rFonts w:ascii="Google Sans Text" w:eastAsia="Google Sans Text" w:hAnsi="Google Sans Text" w:cs="Google Sans Text"/>
          <w:color w:val="1B1C1D"/>
        </w:rPr>
        <w:t>mispriming</w:t>
      </w:r>
      <w:proofErr w:type="spellEnd"/>
      <w:r>
        <w:rPr>
          <w:rFonts w:ascii="Google Sans Text" w:eastAsia="Google Sans Text" w:hAnsi="Google Sans Text" w:cs="Google Sans Text"/>
          <w:color w:val="1B1C1D"/>
        </w:rPr>
        <w:t>.</w:t>
      </w:r>
    </w:p>
    <w:p w14:paraId="0000000F" w14:textId="77777777" w:rsidR="00D54D98" w:rsidRDefault="00C47C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Repetitive sequences:</w:t>
      </w:r>
      <w:r>
        <w:rPr>
          <w:rFonts w:ascii="Google Sans Text" w:eastAsia="Google Sans Text" w:hAnsi="Google Sans Text" w:cs="Google Sans Text"/>
          <w:color w:val="1B1C1D"/>
        </w:rPr>
        <w:t xml:space="preserve"> Steer clear of dinucleotide repeats (e.g., ATATAT) which can lead to </w:t>
      </w:r>
      <w:proofErr w:type="spellStart"/>
      <w:r>
        <w:rPr>
          <w:rFonts w:ascii="Google Sans Text" w:eastAsia="Google Sans Text" w:hAnsi="Google Sans Text" w:cs="Google Sans Text"/>
          <w:color w:val="1B1C1D"/>
        </w:rPr>
        <w:t>mispriming</w:t>
      </w:r>
      <w:proofErr w:type="spellEnd"/>
      <w:r>
        <w:rPr>
          <w:rFonts w:ascii="Google Sans Text" w:eastAsia="Google Sans Text" w:hAnsi="Google Sans Text" w:cs="Google Sans Text"/>
          <w:color w:val="1B1C1D"/>
        </w:rPr>
        <w:t xml:space="preserve"> or slippage during amplification.</w:t>
      </w:r>
    </w:p>
    <w:p w14:paraId="00000010" w14:textId="77777777" w:rsidR="00D54D98" w:rsidRDefault="00C47C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High GC content:</w:t>
      </w:r>
      <w:r>
        <w:rPr>
          <w:rFonts w:ascii="Google Sans Text" w:eastAsia="Google Sans Text" w:hAnsi="Google Sans Text" w:cs="Google Sans Text"/>
          <w:color w:val="1B1C1D"/>
        </w:rPr>
        <w:t xml:space="preserve"> Avoid long stretches of </w:t>
      </w:r>
      <w:proofErr w:type="spellStart"/>
      <w:r>
        <w:rPr>
          <w:rFonts w:ascii="Google Sans Text" w:eastAsia="Google Sans Text" w:hAnsi="Google Sans Text" w:cs="Google Sans Text"/>
          <w:color w:val="1B1C1D"/>
        </w:rPr>
        <w:t>Gs</w:t>
      </w:r>
      <w:proofErr w:type="spellEnd"/>
      <w:r>
        <w:rPr>
          <w:rFonts w:ascii="Google Sans Text" w:eastAsia="Google Sans Text" w:hAnsi="Google Sans Text" w:cs="Google Sans Text"/>
          <w:color w:val="1B1C1D"/>
        </w:rPr>
        <w:t xml:space="preserve"> and Cs (e.g., GGGCC). These can form stable secondary structures or lead to non-specific binding.</w:t>
      </w:r>
    </w:p>
    <w:p w14:paraId="00000011" w14:textId="213EDB97" w:rsidR="00D54D98" w:rsidRDefault="00C47C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GC Clamp:</w:t>
      </w:r>
      <w:r>
        <w:rPr>
          <w:rFonts w:ascii="Google Sans Text" w:eastAsia="Google Sans Text" w:hAnsi="Google Sans Text" w:cs="Google Sans Text"/>
          <w:color w:val="1B1C1D"/>
        </w:rPr>
        <w:t xml:space="preserve"> The presence of </w:t>
      </w:r>
      <w:r w:rsidR="009B4F43">
        <w:rPr>
          <w:rFonts w:ascii="Google Sans Text" w:eastAsia="Google Sans Text" w:hAnsi="Google Sans Text" w:cs="Google Sans Text"/>
          <w:color w:val="FF0000"/>
        </w:rPr>
        <w:t>one</w:t>
      </w:r>
      <w:r>
        <w:rPr>
          <w:rFonts w:ascii="Google Sans Text" w:eastAsia="Google Sans Text" w:hAnsi="Google Sans Text" w:cs="Google Sans Text"/>
          <w:color w:val="1B1C1D"/>
        </w:rPr>
        <w:t xml:space="preserve"> </w:t>
      </w:r>
      <w:r>
        <w:rPr>
          <w:rFonts w:ascii="Google Sans Text" w:eastAsia="Google Sans Text" w:hAnsi="Google Sans Text" w:cs="Google Sans Text"/>
          <w:b/>
          <w:color w:val="1B1C1D"/>
        </w:rPr>
        <w:t>G or C nucleotide at the 3'-end</w:t>
      </w:r>
      <w:r>
        <w:rPr>
          <w:rFonts w:ascii="Google Sans Text" w:eastAsia="Google Sans Text" w:hAnsi="Google Sans Text" w:cs="Google Sans Text"/>
          <w:color w:val="1B1C1D"/>
        </w:rPr>
        <w:t xml:space="preserve"> is beneficial as it strengthens primer binding at the most critical point for DNA polymerase. Avoid having a consecutive run of more than two G's or C's at the 3'-end, as this can lead to non-specific priming.</w:t>
      </w:r>
    </w:p>
    <w:p w14:paraId="00000012" w14:textId="77777777" w:rsidR="00D54D98" w:rsidRDefault="00C47CA8">
      <w:pPr>
        <w:pBdr>
          <w:top w:val="nil"/>
          <w:left w:val="nil"/>
          <w:bottom w:val="nil"/>
          <w:right w:val="nil"/>
          <w:between w:val="nil"/>
        </w:pBdr>
        <w:spacing w:before="240" w:after="120" w:line="275" w:lineRule="auto"/>
        <w:rPr>
          <w:rFonts w:ascii="Google Sans Text" w:eastAsia="Google Sans Text" w:hAnsi="Google Sans Text" w:cs="Google Sans Text"/>
          <w:b/>
          <w:color w:val="1B1C1D"/>
        </w:rPr>
      </w:pPr>
      <w:r>
        <w:rPr>
          <w:rFonts w:ascii="Google Sans Text" w:eastAsia="Google Sans Text" w:hAnsi="Google Sans Text" w:cs="Google Sans Text"/>
          <w:b/>
          <w:color w:val="1B1C1D"/>
        </w:rPr>
        <w:t>3. Considerations for Illumina Sequencing (Indexing PCR)</w:t>
      </w:r>
    </w:p>
    <w:p w14:paraId="00000013" w14:textId="77777777" w:rsidR="00D54D98" w:rsidRDefault="00C47C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lastRenderedPageBreak/>
        <w:t xml:space="preserve">Fuse with </w:t>
      </w:r>
      <w:proofErr w:type="spellStart"/>
      <w:r>
        <w:rPr>
          <w:rFonts w:ascii="Google Sans Text" w:eastAsia="Google Sans Text" w:hAnsi="Google Sans Text" w:cs="Google Sans Text"/>
          <w:b/>
          <w:color w:val="1B1C1D"/>
        </w:rPr>
        <w:t>Nextera</w:t>
      </w:r>
      <w:proofErr w:type="spellEnd"/>
      <w:r>
        <w:rPr>
          <w:rFonts w:ascii="Google Sans Text" w:eastAsia="Google Sans Text" w:hAnsi="Google Sans Text" w:cs="Google Sans Text"/>
          <w:b/>
          <w:color w:val="1B1C1D"/>
        </w:rPr>
        <w:t>/Illumina Overhang:</w:t>
      </w:r>
      <w:r>
        <w:rPr>
          <w:rFonts w:ascii="Google Sans Text" w:eastAsia="Google Sans Text" w:hAnsi="Google Sans Text" w:cs="Google Sans Text"/>
          <w:color w:val="1B1C1D"/>
        </w:rPr>
        <w:t xml:space="preserve"> For a two-step PCR protocol, the first step uses specific primers to amplify the target region. The second step adds </w:t>
      </w:r>
      <w:r>
        <w:rPr>
          <w:rFonts w:ascii="Google Sans Text" w:eastAsia="Google Sans Text" w:hAnsi="Google Sans Text" w:cs="Google Sans Text"/>
          <w:b/>
          <w:color w:val="1B1C1D"/>
        </w:rPr>
        <w:t>Illumina sequencing adapters and a unique bar</w:t>
      </w:r>
      <w:r>
        <w:rPr>
          <w:rFonts w:ascii="Google Sans Text" w:eastAsia="Google Sans Text" w:hAnsi="Google Sans Text" w:cs="Google Sans Text"/>
          <w:b/>
          <w:color w:val="1B1C1D"/>
        </w:rPr>
        <w:t>code (index)</w:t>
      </w:r>
      <w:r>
        <w:rPr>
          <w:rFonts w:ascii="Google Sans Text" w:eastAsia="Google Sans Text" w:hAnsi="Google Sans Text" w:cs="Google Sans Text"/>
          <w:color w:val="1B1C1D"/>
        </w:rPr>
        <w:t>. The initial primers should be designed to include the partial Illumina adapter sequences at their 5'-ends.</w:t>
      </w:r>
    </w:p>
    <w:p w14:paraId="00000014" w14:textId="77777777" w:rsidR="00D54D98" w:rsidRDefault="00C47C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Examine Fusion Junction:</w:t>
      </w:r>
      <w:r>
        <w:rPr>
          <w:rFonts w:ascii="Google Sans Text" w:eastAsia="Google Sans Text" w:hAnsi="Google Sans Text" w:cs="Google Sans Text"/>
          <w:color w:val="1B1C1D"/>
        </w:rPr>
        <w:t xml:space="preserve"> Ensure the junction where the primer sequence meets the Illumina overhang is not prone to forming secondary st</w:t>
      </w:r>
      <w:r>
        <w:rPr>
          <w:rFonts w:ascii="Google Sans Text" w:eastAsia="Google Sans Text" w:hAnsi="Google Sans Text" w:cs="Google Sans Text"/>
          <w:color w:val="1B1C1D"/>
        </w:rPr>
        <w:t>ructures. This can interfere with the binding of primers in the second PCR step.</w:t>
      </w:r>
    </w:p>
    <w:p w14:paraId="00000015" w14:textId="77777777" w:rsidR="00D54D98" w:rsidRDefault="00C47CA8">
      <w:pPr>
        <w:pBdr>
          <w:top w:val="nil"/>
          <w:left w:val="nil"/>
          <w:bottom w:val="nil"/>
          <w:right w:val="nil"/>
          <w:between w:val="nil"/>
        </w:pBdr>
        <w:spacing w:before="240" w:after="120" w:line="275" w:lineRule="auto"/>
        <w:rPr>
          <w:rFonts w:ascii="Google Sans Text" w:eastAsia="Google Sans Text" w:hAnsi="Google Sans Text" w:cs="Google Sans Text"/>
          <w:b/>
          <w:color w:val="1B1C1D"/>
        </w:rPr>
      </w:pPr>
      <w:r>
        <w:rPr>
          <w:rFonts w:ascii="Google Sans Text" w:eastAsia="Google Sans Text" w:hAnsi="Google Sans Text" w:cs="Google Sans Text"/>
          <w:b/>
          <w:color w:val="1B1C1D"/>
        </w:rPr>
        <w:t>4. Primer Validation and Quality Control</w:t>
      </w:r>
    </w:p>
    <w:p w14:paraId="00000016" w14:textId="15E0A03C" w:rsidR="00D54D98" w:rsidRDefault="00C47C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Use Specialized Software:</w:t>
      </w:r>
      <w:r>
        <w:rPr>
          <w:rFonts w:ascii="Google Sans Text" w:eastAsia="Google Sans Text" w:hAnsi="Google Sans Text" w:cs="Google Sans Text"/>
          <w:color w:val="1B1C1D"/>
        </w:rPr>
        <w:t xml:space="preserve"> Use a program like </w:t>
      </w:r>
      <w:proofErr w:type="spellStart"/>
      <w:r>
        <w:rPr>
          <w:rFonts w:ascii="Google Sans Text" w:eastAsia="Google Sans Text" w:hAnsi="Google Sans Text" w:cs="Google Sans Text"/>
          <w:b/>
          <w:color w:val="1B1C1D"/>
        </w:rPr>
        <w:t>OligoAnalyzer</w:t>
      </w:r>
      <w:proofErr w:type="spellEnd"/>
      <w:r w:rsidR="009B4F43">
        <w:rPr>
          <w:rFonts w:ascii="Google Sans Text" w:eastAsia="Google Sans Text" w:hAnsi="Google Sans Text" w:cs="Google Sans Text"/>
          <w:b/>
          <w:color w:val="1B1C1D"/>
        </w:rPr>
        <w:t xml:space="preserve"> (IDT DNA)</w:t>
      </w:r>
      <w:r>
        <w:rPr>
          <w:rFonts w:ascii="Google Sans Text" w:eastAsia="Google Sans Text" w:hAnsi="Google Sans Text" w:cs="Google Sans Text"/>
          <w:color w:val="1B1C1D"/>
        </w:rPr>
        <w:t xml:space="preserve"> or a similar bioinformatics tool to validate your final primer designs.</w:t>
      </w:r>
    </w:p>
    <w:p w14:paraId="00000017" w14:textId="77777777" w:rsidR="00D54D98" w:rsidRDefault="00C47C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Check for Potential Issues:</w:t>
      </w:r>
    </w:p>
    <w:p w14:paraId="00000018" w14:textId="3D72AA5A" w:rsidR="00D54D98" w:rsidRDefault="00C47CA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Hairpin Structures:</w:t>
      </w:r>
      <w:r>
        <w:rPr>
          <w:rFonts w:ascii="Google Sans Text" w:eastAsia="Google Sans Text" w:hAnsi="Google Sans Text" w:cs="Google Sans Text"/>
          <w:color w:val="1B1C1D"/>
        </w:rPr>
        <w:t xml:space="preserve"> These are intramolecular bonds within a single primer that can prevent it from binding to the template. The software should identify a </w:t>
      </w:r>
      <w:r>
        <w:rPr>
          <w:rFonts w:ascii="Google Sans Text" w:eastAsia="Google Sans Text" w:hAnsi="Google Sans Text" w:cs="Google Sans Text"/>
          <w:b/>
          <w:color w:val="1B1C1D"/>
        </w:rPr>
        <w:t>hairpin with a delta G (ΔG) value less negative than -2.0 kcal/</w:t>
      </w:r>
      <w:proofErr w:type="spellStart"/>
      <w:r>
        <w:rPr>
          <w:rFonts w:ascii="Google Sans Text" w:eastAsia="Google Sans Text" w:hAnsi="Google Sans Text" w:cs="Google Sans Text"/>
          <w:b/>
          <w:color w:val="1B1C1D"/>
        </w:rPr>
        <w:t>mol</w:t>
      </w:r>
      <w:proofErr w:type="spellEnd"/>
      <w:r w:rsidR="009B4F43">
        <w:rPr>
          <w:rFonts w:ascii="Google Sans Text" w:eastAsia="Google Sans Text" w:hAnsi="Google Sans Text" w:cs="Google Sans Text"/>
          <w:color w:val="1B1C1D"/>
        </w:rPr>
        <w:t xml:space="preserve"> (</w:t>
      </w:r>
      <w:r w:rsidR="009B4F43" w:rsidRPr="000002F3">
        <w:rPr>
          <w:rFonts w:ascii="Google Sans Text" w:eastAsia="Google Sans Text" w:hAnsi="Google Sans Text" w:cs="Google Sans Text"/>
          <w:color w:val="C00000"/>
        </w:rPr>
        <w:t>or no more negative than -6</w:t>
      </w:r>
      <w:r w:rsidR="009B4F43">
        <w:rPr>
          <w:rFonts w:ascii="Google Sans Text" w:eastAsia="Google Sans Text" w:hAnsi="Google Sans Text" w:cs="Google Sans Text"/>
          <w:color w:val="1B1C1D"/>
        </w:rPr>
        <w:t>).</w:t>
      </w:r>
    </w:p>
    <w:p w14:paraId="00000019" w14:textId="507D2F16" w:rsidR="00D54D98" w:rsidRDefault="00C47CA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Self-</w:t>
      </w:r>
      <w:r>
        <w:rPr>
          <w:rFonts w:ascii="Google Sans Text" w:eastAsia="Google Sans Text" w:hAnsi="Google Sans Text" w:cs="Google Sans Text"/>
          <w:b/>
          <w:color w:val="1B1C1D"/>
        </w:rPr>
        <w:t>Dimer:</w:t>
      </w:r>
      <w:r>
        <w:rPr>
          <w:rFonts w:ascii="Google Sans Text" w:eastAsia="Google Sans Text" w:hAnsi="Google Sans Text" w:cs="Google Sans Text"/>
          <w:color w:val="1B1C1D"/>
        </w:rPr>
        <w:t xml:space="preserve"> This occurs when two molecules of the same primer bind to each other. The software should identify a </w:t>
      </w:r>
      <w:r>
        <w:rPr>
          <w:rFonts w:ascii="Google Sans Text" w:eastAsia="Google Sans Text" w:hAnsi="Google Sans Text" w:cs="Google Sans Text"/>
          <w:b/>
          <w:color w:val="1B1C1D"/>
        </w:rPr>
        <w:t xml:space="preserve">self-dimer with a ΔG value less negative than -5.0 </w:t>
      </w:r>
      <w:r w:rsidR="00F71917" w:rsidRPr="00F71917">
        <w:rPr>
          <w:rFonts w:ascii="Google Sans Text" w:eastAsia="Google Sans Text" w:hAnsi="Google Sans Text" w:cs="Google Sans Text"/>
          <w:b/>
          <w:color w:val="C00000"/>
        </w:rPr>
        <w:t>(or -6</w:t>
      </w:r>
      <w:r w:rsidR="00F71917">
        <w:rPr>
          <w:rFonts w:ascii="Google Sans Text" w:eastAsia="Google Sans Text" w:hAnsi="Google Sans Text" w:cs="Google Sans Text"/>
          <w:b/>
          <w:color w:val="C00000"/>
        </w:rPr>
        <w:t>.0</w:t>
      </w:r>
      <w:r w:rsidR="00F71917" w:rsidRPr="00F71917">
        <w:rPr>
          <w:rFonts w:ascii="Google Sans Text" w:eastAsia="Google Sans Text" w:hAnsi="Google Sans Text" w:cs="Google Sans Text"/>
          <w:b/>
          <w:color w:val="C00000"/>
        </w:rPr>
        <w:t>)</w:t>
      </w:r>
      <w:r w:rsidR="00F71917">
        <w:rPr>
          <w:rFonts w:ascii="Google Sans Text" w:eastAsia="Google Sans Text" w:hAnsi="Google Sans Text" w:cs="Google Sans Text"/>
          <w:b/>
          <w:color w:val="1B1C1D"/>
        </w:rPr>
        <w:t xml:space="preserve"> </w:t>
      </w:r>
      <w:r>
        <w:rPr>
          <w:rFonts w:ascii="Google Sans Text" w:eastAsia="Google Sans Text" w:hAnsi="Google Sans Text" w:cs="Google Sans Text"/>
          <w:b/>
          <w:color w:val="1B1C1D"/>
        </w:rPr>
        <w:t>kcal/mol</w:t>
      </w:r>
      <w:r>
        <w:rPr>
          <w:rFonts w:ascii="Google Sans Text" w:eastAsia="Google Sans Text" w:hAnsi="Google Sans Text" w:cs="Google Sans Text"/>
          <w:color w:val="1B1C1D"/>
        </w:rPr>
        <w:t>.</w:t>
      </w:r>
    </w:p>
    <w:p w14:paraId="0000001A" w14:textId="6A482081" w:rsidR="00D54D98" w:rsidRDefault="00C47CA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Hetero-Dimer:</w:t>
      </w:r>
      <w:r>
        <w:rPr>
          <w:rFonts w:ascii="Google Sans Text" w:eastAsia="Google Sans Text" w:hAnsi="Google Sans Text" w:cs="Google Sans Text"/>
          <w:color w:val="1B1C1D"/>
        </w:rPr>
        <w:t xml:space="preserve"> This is when the forward and reverse primers bind to each other. The soft</w:t>
      </w:r>
      <w:r>
        <w:rPr>
          <w:rFonts w:ascii="Google Sans Text" w:eastAsia="Google Sans Text" w:hAnsi="Google Sans Text" w:cs="Google Sans Text"/>
          <w:color w:val="1B1C1D"/>
        </w:rPr>
        <w:t xml:space="preserve">ware should identify a </w:t>
      </w:r>
      <w:r>
        <w:rPr>
          <w:rFonts w:ascii="Google Sans Text" w:eastAsia="Google Sans Text" w:hAnsi="Google Sans Text" w:cs="Google Sans Text"/>
          <w:b/>
          <w:color w:val="1B1C1D"/>
        </w:rPr>
        <w:t xml:space="preserve">hetero-dimer with a ΔG value less negative than -5.0 </w:t>
      </w:r>
      <w:r w:rsidR="00F71917" w:rsidRPr="00F71917">
        <w:rPr>
          <w:rFonts w:ascii="Google Sans Text" w:eastAsia="Google Sans Text" w:hAnsi="Google Sans Text" w:cs="Google Sans Text"/>
          <w:b/>
          <w:color w:val="C00000"/>
        </w:rPr>
        <w:t>(or -6</w:t>
      </w:r>
      <w:r w:rsidR="00F71917">
        <w:rPr>
          <w:rFonts w:ascii="Google Sans Text" w:eastAsia="Google Sans Text" w:hAnsi="Google Sans Text" w:cs="Google Sans Text"/>
          <w:b/>
          <w:color w:val="C00000"/>
        </w:rPr>
        <w:t>.0</w:t>
      </w:r>
      <w:r w:rsidR="00F71917" w:rsidRPr="00F71917">
        <w:rPr>
          <w:rFonts w:ascii="Google Sans Text" w:eastAsia="Google Sans Text" w:hAnsi="Google Sans Text" w:cs="Google Sans Text"/>
          <w:b/>
          <w:color w:val="C00000"/>
        </w:rPr>
        <w:t>)</w:t>
      </w:r>
      <w:r w:rsidR="00F71917">
        <w:rPr>
          <w:rFonts w:ascii="Google Sans Text" w:eastAsia="Google Sans Text" w:hAnsi="Google Sans Text" w:cs="Google Sans Text"/>
          <w:b/>
          <w:color w:val="1B1C1D"/>
        </w:rPr>
        <w:t xml:space="preserve"> </w:t>
      </w:r>
      <w:r>
        <w:rPr>
          <w:rFonts w:ascii="Google Sans Text" w:eastAsia="Google Sans Text" w:hAnsi="Google Sans Text" w:cs="Google Sans Text"/>
          <w:b/>
          <w:color w:val="1B1C1D"/>
        </w:rPr>
        <w:t>kcal/mol</w:t>
      </w:r>
      <w:r>
        <w:rPr>
          <w:rFonts w:ascii="Google Sans Text" w:eastAsia="Google Sans Text" w:hAnsi="Google Sans Text" w:cs="Google Sans Text"/>
          <w:color w:val="1B1C1D"/>
        </w:rPr>
        <w:t>.</w:t>
      </w:r>
    </w:p>
    <w:p w14:paraId="0000001B" w14:textId="77777777" w:rsidR="00D54D98" w:rsidRDefault="00C47CA8">
      <w:pPr>
        <w:pBdr>
          <w:top w:val="nil"/>
          <w:left w:val="nil"/>
          <w:bottom w:val="nil"/>
          <w:right w:val="nil"/>
          <w:between w:val="nil"/>
        </w:pBdr>
        <w:spacing w:before="240" w:after="120" w:line="275" w:lineRule="auto"/>
        <w:rPr>
          <w:rFonts w:ascii="Google Sans Text" w:eastAsia="Google Sans Text" w:hAnsi="Google Sans Text" w:cs="Google Sans Text"/>
          <w:b/>
          <w:color w:val="1B1C1D"/>
        </w:rPr>
      </w:pPr>
      <w:r>
        <w:rPr>
          <w:rFonts w:ascii="Google Sans Text" w:eastAsia="Google Sans Text" w:hAnsi="Google Sans Text" w:cs="Google Sans Text"/>
          <w:b/>
          <w:color w:val="1B1C1D"/>
        </w:rPr>
        <w:t>5. Additional Best Practices</w:t>
      </w:r>
    </w:p>
    <w:p w14:paraId="0000001C" w14:textId="77777777" w:rsidR="00D54D98" w:rsidRDefault="00C47C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Check Specificity:</w:t>
      </w:r>
      <w:r>
        <w:rPr>
          <w:rFonts w:ascii="Google Sans Text" w:eastAsia="Google Sans Text" w:hAnsi="Google Sans Text" w:cs="Google Sans Text"/>
          <w:color w:val="1B1C1D"/>
        </w:rPr>
        <w:t xml:space="preserve"> Perform an </w:t>
      </w:r>
      <w:r>
        <w:rPr>
          <w:rFonts w:ascii="Google Sans Text" w:eastAsia="Google Sans Text" w:hAnsi="Google Sans Text" w:cs="Google Sans Text"/>
          <w:b/>
          <w:color w:val="1B1C1D"/>
        </w:rPr>
        <w:t>in-</w:t>
      </w:r>
      <w:proofErr w:type="spellStart"/>
      <w:r>
        <w:rPr>
          <w:rFonts w:ascii="Google Sans Text" w:eastAsia="Google Sans Text" w:hAnsi="Google Sans Text" w:cs="Google Sans Text"/>
          <w:b/>
          <w:color w:val="1B1C1D"/>
        </w:rPr>
        <w:t>silico</w:t>
      </w:r>
      <w:proofErr w:type="spellEnd"/>
      <w:r>
        <w:rPr>
          <w:rFonts w:ascii="Google Sans Text" w:eastAsia="Google Sans Text" w:hAnsi="Google Sans Text" w:cs="Google Sans Text"/>
          <w:b/>
          <w:color w:val="1B1C1D"/>
        </w:rPr>
        <w:t xml:space="preserve"> PCR</w:t>
      </w:r>
      <w:r>
        <w:rPr>
          <w:rFonts w:ascii="Google Sans Text" w:eastAsia="Google Sans Text" w:hAnsi="Google Sans Text" w:cs="Google Sans Text"/>
          <w:color w:val="1B1C1D"/>
        </w:rPr>
        <w:t xml:space="preserve"> (e.g., using Primer-BLAST) to check if your primers bind specifically to your target and do not have significant off-target hits in your organism's genome.</w:t>
      </w:r>
    </w:p>
    <w:p w14:paraId="0000001D" w14:textId="66A9994D" w:rsidR="00D54D98" w:rsidRPr="003848B7" w:rsidRDefault="00C47C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  <w:r>
        <w:rPr>
          <w:rFonts w:ascii="Google Sans Text" w:eastAsia="Google Sans Text" w:hAnsi="Google Sans Text" w:cs="Google Sans Text"/>
          <w:b/>
          <w:color w:val="1B1C1D"/>
        </w:rPr>
        <w:t>Sequencing Quality:</w:t>
      </w:r>
      <w:r>
        <w:rPr>
          <w:rFonts w:ascii="Google Sans Text" w:eastAsia="Google Sans Text" w:hAnsi="Google Sans Text" w:cs="Google Sans Text"/>
          <w:color w:val="1B1C1D"/>
        </w:rPr>
        <w:t xml:space="preserve"> For sequencing applications, ensure the amplicon is </w:t>
      </w:r>
      <w:r>
        <w:rPr>
          <w:rFonts w:ascii="Google Sans Text" w:eastAsia="Google Sans Text" w:hAnsi="Google Sans Text" w:cs="Google Sans Text"/>
          <w:b/>
          <w:color w:val="1B1C1D"/>
        </w:rPr>
        <w:t>not too short or too long</w:t>
      </w:r>
      <w:r>
        <w:rPr>
          <w:rFonts w:ascii="Google Sans Text" w:eastAsia="Google Sans Text" w:hAnsi="Google Sans Text" w:cs="Google Sans Text"/>
          <w:color w:val="1B1C1D"/>
        </w:rPr>
        <w:t xml:space="preserve">. </w:t>
      </w:r>
      <w:r>
        <w:rPr>
          <w:rFonts w:ascii="Google Sans Text" w:eastAsia="Google Sans Text" w:hAnsi="Google Sans Text" w:cs="Google Sans Text"/>
          <w:color w:val="1B1C1D"/>
        </w:rPr>
        <w:t xml:space="preserve">A length of </w:t>
      </w:r>
      <w:r>
        <w:rPr>
          <w:rFonts w:ascii="Google Sans Text" w:eastAsia="Google Sans Text" w:hAnsi="Google Sans Text" w:cs="Google Sans Text"/>
          <w:b/>
          <w:color w:val="1B1C1D"/>
        </w:rPr>
        <w:t>150–500 base pairs</w:t>
      </w:r>
      <w:r>
        <w:rPr>
          <w:rFonts w:ascii="Google Sans Text" w:eastAsia="Google Sans Text" w:hAnsi="Google Sans Text" w:cs="Google Sans Text"/>
          <w:color w:val="1B1C1D"/>
        </w:rPr>
        <w:t xml:space="preserve"> is ideal for Illumina sequencing.</w:t>
      </w:r>
    </w:p>
    <w:p w14:paraId="136B1B82" w14:textId="52E9298E" w:rsidR="003848B7" w:rsidRDefault="003848B7" w:rsidP="00633EF6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ind w:left="465"/>
      </w:pPr>
    </w:p>
    <w:sectPr w:rsidR="003848B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 Text">
    <w:altName w:val="Times New Roman"/>
    <w:charset w:val="00"/>
    <w:family w:val="auto"/>
    <w:pitch w:val="default"/>
  </w:font>
  <w:font w:name="Google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0E19"/>
    <w:multiLevelType w:val="multilevel"/>
    <w:tmpl w:val="29284CF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29B124E2"/>
    <w:multiLevelType w:val="multilevel"/>
    <w:tmpl w:val="626AFE4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ED73276"/>
    <w:multiLevelType w:val="multilevel"/>
    <w:tmpl w:val="4F7CA31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4FB10FDD"/>
    <w:multiLevelType w:val="multilevel"/>
    <w:tmpl w:val="80ACA6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58487D55"/>
    <w:multiLevelType w:val="multilevel"/>
    <w:tmpl w:val="ED3478E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5AD559FA"/>
    <w:multiLevelType w:val="multilevel"/>
    <w:tmpl w:val="1CF681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649F060E"/>
    <w:multiLevelType w:val="multilevel"/>
    <w:tmpl w:val="0FC0BC1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98"/>
    <w:rsid w:val="000002F3"/>
    <w:rsid w:val="003848B7"/>
    <w:rsid w:val="004A6017"/>
    <w:rsid w:val="00633EF6"/>
    <w:rsid w:val="009B4F43"/>
    <w:rsid w:val="00C47CA8"/>
    <w:rsid w:val="00D54D98"/>
    <w:rsid w:val="00F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02FF"/>
  <w15:docId w15:val="{A46F3469-FE5A-4E32-BFA4-5AD336B8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i7-1</dc:creator>
  <cp:lastModifiedBy>i7-1</cp:lastModifiedBy>
  <cp:revision>5</cp:revision>
  <dcterms:created xsi:type="dcterms:W3CDTF">2025-09-03T10:20:00Z</dcterms:created>
  <dcterms:modified xsi:type="dcterms:W3CDTF">2025-09-03T10:21:00Z</dcterms:modified>
</cp:coreProperties>
</file>